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31C" w:rsidRPr="00FA631C" w:rsidRDefault="00FA631C" w:rsidP="00FA631C">
      <w:pPr>
        <w:pBdr>
          <w:top w:val="single" w:sz="24" w:space="1" w:color="70AD47"/>
          <w:left w:val="single" w:sz="24" w:space="4" w:color="70AD47"/>
          <w:bottom w:val="single" w:sz="24" w:space="1" w:color="70AD47"/>
          <w:right w:val="single" w:sz="24" w:space="4" w:color="70AD47"/>
        </w:pBdr>
        <w:spacing w:after="160" w:line="259" w:lineRule="auto"/>
        <w:jc w:val="center"/>
        <w:rPr>
          <w:rFonts w:ascii="Calibri" w:eastAsia="Calibri" w:hAnsi="Calibri" w:cs="Times New Roman"/>
          <w:b/>
          <w:sz w:val="28"/>
          <w:szCs w:val="28"/>
        </w:rPr>
      </w:pPr>
      <w:r w:rsidRPr="00FA631C">
        <w:rPr>
          <w:rFonts w:ascii="Calibri" w:eastAsia="Calibri" w:hAnsi="Calibri" w:cs="Times New Roman"/>
          <w:b/>
          <w:sz w:val="28"/>
          <w:szCs w:val="28"/>
        </w:rPr>
        <w:t>Évaluation finale du projet</w:t>
      </w:r>
    </w:p>
    <w:p w:rsidR="00FA631C" w:rsidRPr="00FA631C" w:rsidRDefault="00FA631C" w:rsidP="00FA631C">
      <w:pPr>
        <w:pBdr>
          <w:top w:val="single" w:sz="24" w:space="1" w:color="70AD47"/>
          <w:left w:val="single" w:sz="24" w:space="4" w:color="70AD47"/>
          <w:bottom w:val="single" w:sz="24" w:space="1" w:color="70AD47"/>
          <w:right w:val="single" w:sz="24" w:space="4" w:color="70AD47"/>
        </w:pBdr>
        <w:spacing w:after="160" w:line="259" w:lineRule="auto"/>
        <w:jc w:val="center"/>
        <w:rPr>
          <w:rFonts w:ascii="Calibri" w:eastAsia="Calibri" w:hAnsi="Calibri" w:cs="Times New Roman"/>
          <w:b/>
          <w:sz w:val="28"/>
          <w:szCs w:val="28"/>
        </w:rPr>
      </w:pPr>
      <w:r w:rsidRPr="00FA631C">
        <w:rPr>
          <w:rFonts w:ascii="Calibri" w:eastAsia="Calibri" w:hAnsi="Calibri" w:cs="Times New Roman"/>
          <w:b/>
          <w:sz w:val="28"/>
          <w:szCs w:val="28"/>
        </w:rPr>
        <w:t>‘’Intégration des aspects de l’environnement mondial dans les processus de planification stratégique locale et de suivi de l’Initiative Nationale pour le Développement humain (INDH) au Maroc’’</w:t>
      </w:r>
    </w:p>
    <w:p w:rsidR="0052104D" w:rsidRPr="0052104D" w:rsidRDefault="00B748E8" w:rsidP="0052104D">
      <w:pPr>
        <w:spacing w:after="0" w:line="259" w:lineRule="auto"/>
        <w:ind w:left="2832" w:firstLine="708"/>
        <w:jc w:val="center"/>
        <w:rPr>
          <w:rFonts w:ascii="Calibri" w:eastAsia="Calibri" w:hAnsi="Calibri" w:cs="Times New Roman"/>
          <w:sz w:val="20"/>
          <w:szCs w:val="20"/>
        </w:rPr>
      </w:pPr>
      <w:r>
        <w:rPr>
          <w:noProof/>
          <w:lang w:eastAsia="fr-FR"/>
        </w:rPr>
        <w:drawing>
          <wp:anchor distT="0" distB="0" distL="114300" distR="114300" simplePos="0" relativeHeight="251688960" behindDoc="0" locked="0" layoutInCell="1" allowOverlap="1">
            <wp:simplePos x="0" y="0"/>
            <wp:positionH relativeFrom="column">
              <wp:posOffset>-90170</wp:posOffset>
            </wp:positionH>
            <wp:positionV relativeFrom="paragraph">
              <wp:posOffset>43180</wp:posOffset>
            </wp:positionV>
            <wp:extent cx="2108200" cy="1722755"/>
            <wp:effectExtent l="133350" t="114300" r="139700" b="163195"/>
            <wp:wrapNone/>
            <wp:docPr id="29" name="Picture 29" descr="C:\Users\Rajae\Desktop\A. KHALID\Oum Er Rabia Sanitation\El Ksiba\Photos juillet 2013\P1030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jae\Desktop\A. KHALID\Oum Er Rabia Sanitation\El Ksiba\Photos juillet 2013\P1030660.JP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247"/>
                    <a:stretch/>
                  </pic:blipFill>
                  <pic:spPr bwMode="auto">
                    <a:xfrm>
                      <a:off x="0" y="0"/>
                      <a:ext cx="2108200" cy="17227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52104D" w:rsidRPr="0052104D">
        <w:rPr>
          <w:rFonts w:ascii="Calibri" w:eastAsia="Calibri" w:hAnsi="Calibri" w:cs="Times New Roman"/>
          <w:sz w:val="20"/>
          <w:szCs w:val="20"/>
        </w:rPr>
        <w:t>Signature du Document Projet (Date de début) : 25 novembre 2011</w:t>
      </w:r>
    </w:p>
    <w:p w:rsidR="00B748E8" w:rsidRPr="0052104D" w:rsidRDefault="0052104D" w:rsidP="0052104D">
      <w:pPr>
        <w:spacing w:after="0" w:line="259" w:lineRule="auto"/>
        <w:jc w:val="right"/>
        <w:rPr>
          <w:rFonts w:ascii="Calibri" w:eastAsia="Calibri" w:hAnsi="Calibri" w:cs="Times New Roman"/>
          <w:sz w:val="20"/>
          <w:szCs w:val="20"/>
        </w:rPr>
      </w:pPr>
      <w:r w:rsidRPr="0052104D">
        <w:rPr>
          <w:rFonts w:ascii="Calibri" w:eastAsia="Calibri" w:hAnsi="Calibri" w:cs="Times New Roman"/>
          <w:sz w:val="20"/>
          <w:szCs w:val="20"/>
        </w:rPr>
        <w:t>Date de clôture opérationnelle proposée : 30 sept. 2015</w:t>
      </w:r>
    </w:p>
    <w:p w:rsidR="00B748E8" w:rsidRDefault="00B748E8" w:rsidP="00FA631C">
      <w:pPr>
        <w:spacing w:after="160" w:line="259" w:lineRule="auto"/>
        <w:jc w:val="center"/>
        <w:rPr>
          <w:rFonts w:ascii="Calibri" w:eastAsia="Calibri" w:hAnsi="Calibri" w:cs="Times New Roman"/>
          <w:b/>
          <w:sz w:val="28"/>
          <w:szCs w:val="28"/>
        </w:rPr>
      </w:pPr>
    </w:p>
    <w:p w:rsidR="0052104D" w:rsidRDefault="0052104D" w:rsidP="00FA631C">
      <w:pPr>
        <w:spacing w:after="160" w:line="259" w:lineRule="auto"/>
        <w:jc w:val="center"/>
        <w:rPr>
          <w:rFonts w:ascii="Calibri" w:eastAsia="Calibri" w:hAnsi="Calibri" w:cs="Times New Roman"/>
          <w:b/>
          <w:sz w:val="28"/>
          <w:szCs w:val="28"/>
        </w:rPr>
      </w:pPr>
    </w:p>
    <w:p w:rsidR="00B748E8" w:rsidRDefault="00AC18EE" w:rsidP="00FA631C">
      <w:pPr>
        <w:spacing w:after="160" w:line="259" w:lineRule="auto"/>
        <w:jc w:val="center"/>
        <w:rPr>
          <w:rFonts w:ascii="Calibri" w:eastAsia="Calibri" w:hAnsi="Calibri" w:cs="Times New Roman"/>
          <w:b/>
          <w:sz w:val="28"/>
          <w:szCs w:val="28"/>
        </w:rPr>
      </w:pPr>
      <w:r>
        <w:rPr>
          <w:rFonts w:ascii="Calibri" w:eastAsia="Calibri" w:hAnsi="Calibri" w:cs="Times New Roman"/>
          <w:b/>
          <w:noProof/>
          <w:sz w:val="28"/>
          <w:szCs w:val="28"/>
          <w:lang w:eastAsia="fr-FR"/>
        </w:rPr>
        <w:drawing>
          <wp:anchor distT="0" distB="0" distL="114300" distR="114300" simplePos="0" relativeHeight="251689984" behindDoc="1" locked="0" layoutInCell="1" allowOverlap="1">
            <wp:simplePos x="0" y="0"/>
            <wp:positionH relativeFrom="column">
              <wp:posOffset>3311525</wp:posOffset>
            </wp:positionH>
            <wp:positionV relativeFrom="paragraph">
              <wp:posOffset>1590675</wp:posOffset>
            </wp:positionV>
            <wp:extent cx="2529840" cy="1518285"/>
            <wp:effectExtent l="114300" t="114300" r="156210" b="13906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29840" cy="15182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B748E8">
        <w:rPr>
          <w:rFonts w:ascii="Calibri" w:eastAsia="Calibri" w:hAnsi="Calibri" w:cs="Times New Roman"/>
          <w:b/>
          <w:noProof/>
          <w:sz w:val="28"/>
          <w:szCs w:val="28"/>
          <w:lang w:eastAsia="fr-FR"/>
        </w:rPr>
        <w:drawing>
          <wp:inline distT="0" distB="0" distL="0" distR="0">
            <wp:extent cx="2329180" cy="1749425"/>
            <wp:effectExtent l="133350" t="114300" r="147320" b="15557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9180" cy="17494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52104D" w:rsidRDefault="0052104D" w:rsidP="00FA631C">
      <w:pPr>
        <w:spacing w:after="160" w:line="259" w:lineRule="auto"/>
        <w:jc w:val="center"/>
        <w:rPr>
          <w:rFonts w:ascii="Calibri" w:eastAsia="Calibri" w:hAnsi="Calibri" w:cs="Times New Roman"/>
          <w:b/>
          <w:sz w:val="28"/>
          <w:szCs w:val="28"/>
        </w:rPr>
      </w:pPr>
    </w:p>
    <w:p w:rsidR="0052104D" w:rsidRDefault="0052104D" w:rsidP="00FA631C">
      <w:pPr>
        <w:spacing w:after="160" w:line="259" w:lineRule="auto"/>
        <w:jc w:val="center"/>
        <w:rPr>
          <w:rFonts w:ascii="Calibri" w:eastAsia="Calibri" w:hAnsi="Calibri" w:cs="Times New Roman"/>
          <w:b/>
          <w:sz w:val="28"/>
          <w:szCs w:val="28"/>
        </w:rPr>
      </w:pPr>
    </w:p>
    <w:p w:rsidR="00B748E8" w:rsidRDefault="00B748E8" w:rsidP="00FA631C">
      <w:pPr>
        <w:spacing w:after="160" w:line="259" w:lineRule="auto"/>
        <w:jc w:val="center"/>
        <w:rPr>
          <w:rFonts w:ascii="Calibri" w:eastAsia="Calibri" w:hAnsi="Calibri" w:cs="Times New Roman"/>
          <w:b/>
          <w:sz w:val="28"/>
          <w:szCs w:val="28"/>
        </w:rPr>
      </w:pPr>
    </w:p>
    <w:p w:rsidR="00B748E8" w:rsidRDefault="00B748E8" w:rsidP="00FA631C">
      <w:pPr>
        <w:spacing w:after="160" w:line="259" w:lineRule="auto"/>
        <w:jc w:val="center"/>
        <w:rPr>
          <w:rFonts w:ascii="Calibri" w:eastAsia="Calibri" w:hAnsi="Calibri" w:cs="Times New Roman"/>
          <w:b/>
          <w:sz w:val="28"/>
          <w:szCs w:val="28"/>
        </w:rPr>
      </w:pPr>
    </w:p>
    <w:p w:rsidR="00AC18EE" w:rsidRPr="00FA631C" w:rsidRDefault="00AC18EE" w:rsidP="00FA631C">
      <w:pPr>
        <w:spacing w:after="160" w:line="259" w:lineRule="auto"/>
        <w:jc w:val="center"/>
        <w:rPr>
          <w:rFonts w:ascii="Calibri" w:eastAsia="Calibri" w:hAnsi="Calibri" w:cs="Times New Roman"/>
          <w:b/>
          <w:sz w:val="28"/>
          <w:szCs w:val="28"/>
        </w:rPr>
      </w:pPr>
    </w:p>
    <w:p w:rsidR="00FA631C" w:rsidRDefault="00FA631C" w:rsidP="0052104D">
      <w:pPr>
        <w:spacing w:after="0" w:line="259" w:lineRule="auto"/>
        <w:jc w:val="center"/>
        <w:rPr>
          <w:rFonts w:ascii="Calibri" w:eastAsia="Calibri" w:hAnsi="Calibri" w:cs="Times New Roman"/>
          <w:b/>
          <w:sz w:val="28"/>
          <w:szCs w:val="28"/>
        </w:rPr>
      </w:pPr>
      <w:r w:rsidRPr="00FA631C">
        <w:rPr>
          <w:rFonts w:ascii="Calibri" w:eastAsia="Calibri" w:hAnsi="Calibri" w:cs="Times New Roman"/>
          <w:b/>
          <w:sz w:val="28"/>
          <w:szCs w:val="28"/>
        </w:rPr>
        <w:t xml:space="preserve">Rapport </w:t>
      </w:r>
      <w:r>
        <w:rPr>
          <w:rFonts w:ascii="Calibri" w:eastAsia="Calibri" w:hAnsi="Calibri" w:cs="Times New Roman"/>
          <w:b/>
          <w:sz w:val="28"/>
          <w:szCs w:val="28"/>
        </w:rPr>
        <w:t xml:space="preserve">de l’évaluation finale </w:t>
      </w:r>
    </w:p>
    <w:p w:rsidR="00FA631C" w:rsidRPr="00FA631C" w:rsidRDefault="00FA631C" w:rsidP="0052104D">
      <w:pPr>
        <w:spacing w:after="0" w:line="259" w:lineRule="auto"/>
        <w:jc w:val="center"/>
        <w:rPr>
          <w:rFonts w:ascii="Calibri" w:eastAsia="Calibri" w:hAnsi="Calibri" w:cs="Times New Roman"/>
          <w:b/>
        </w:rPr>
      </w:pPr>
      <w:r>
        <w:rPr>
          <w:rFonts w:ascii="Calibri" w:eastAsia="Calibri" w:hAnsi="Calibri" w:cs="Times New Roman"/>
          <w:b/>
          <w:sz w:val="28"/>
          <w:szCs w:val="28"/>
        </w:rPr>
        <w:t>Livrable II</w:t>
      </w:r>
    </w:p>
    <w:p w:rsidR="00FA631C" w:rsidRPr="00FA631C" w:rsidRDefault="00FA631C" w:rsidP="00731F88">
      <w:pPr>
        <w:spacing w:after="0" w:line="259" w:lineRule="auto"/>
        <w:jc w:val="right"/>
        <w:rPr>
          <w:rFonts w:ascii="Calibri" w:eastAsia="Calibri" w:hAnsi="Calibri" w:cs="Times New Roman"/>
          <w:b/>
        </w:rPr>
      </w:pPr>
      <w:r w:rsidRPr="00FA631C">
        <w:rPr>
          <w:rFonts w:ascii="Calibri" w:eastAsia="Calibri" w:hAnsi="Calibri" w:cs="Times New Roman"/>
          <w:b/>
        </w:rPr>
        <w:t>Préparé par Khalid ANOUAR</w:t>
      </w:r>
    </w:p>
    <w:p w:rsidR="00FA631C" w:rsidRPr="00FA631C" w:rsidRDefault="00E951CD" w:rsidP="00731F88">
      <w:pPr>
        <w:spacing w:after="0" w:line="259" w:lineRule="auto"/>
        <w:jc w:val="right"/>
        <w:rPr>
          <w:rFonts w:ascii="Calibri" w:eastAsia="Calibri" w:hAnsi="Calibri" w:cs="Times New Roman"/>
          <w:b/>
        </w:rPr>
        <w:sectPr w:rsidR="00FA631C" w:rsidRPr="00FA631C">
          <w:headerReference w:type="default" r:id="rId11"/>
          <w:footerReference w:type="default" r:id="rId12"/>
          <w:footerReference w:type="first" r:id="rId13"/>
          <w:pgSz w:w="11906" w:h="16838"/>
          <w:pgMar w:top="1417" w:right="1417" w:bottom="1417" w:left="1417" w:header="708" w:footer="708" w:gutter="0"/>
          <w:cols w:space="708"/>
          <w:docGrid w:linePitch="360"/>
        </w:sectPr>
      </w:pPr>
      <w:r>
        <w:rPr>
          <w:rFonts w:ascii="Calibri" w:eastAsia="Calibri" w:hAnsi="Calibri" w:cs="Times New Roman"/>
          <w:b/>
        </w:rPr>
        <w:t>Juillet</w:t>
      </w:r>
      <w:r w:rsidR="00FA631C" w:rsidRPr="00FA631C">
        <w:rPr>
          <w:rFonts w:ascii="Calibri" w:eastAsia="Calibri" w:hAnsi="Calibri" w:cs="Times New Roman"/>
          <w:b/>
        </w:rPr>
        <w:t xml:space="preserve"> 2015</w:t>
      </w:r>
    </w:p>
    <w:p w:rsidR="00AD1A5C" w:rsidRDefault="00AD1A5C" w:rsidP="00AD1A5C">
      <w:pPr>
        <w:autoSpaceDE w:val="0"/>
        <w:autoSpaceDN w:val="0"/>
        <w:adjustRightInd w:val="0"/>
        <w:spacing w:after="0" w:line="240" w:lineRule="auto"/>
        <w:rPr>
          <w:rFonts w:ascii="Calibri" w:hAnsi="Calibri" w:cs="Calibri"/>
          <w:color w:val="949699"/>
        </w:rPr>
      </w:pPr>
    </w:p>
    <w:tbl>
      <w:tblPr>
        <w:tblStyle w:val="Grilledutableau"/>
        <w:tblW w:w="0" w:type="auto"/>
        <w:tblLook w:val="04A0"/>
      </w:tblPr>
      <w:tblGrid>
        <w:gridCol w:w="3652"/>
        <w:gridCol w:w="5560"/>
      </w:tblGrid>
      <w:tr w:rsidR="00AD1A5C" w:rsidRPr="00AD1A5C" w:rsidTr="005F317A">
        <w:tc>
          <w:tcPr>
            <w:tcW w:w="3652" w:type="dxa"/>
            <w:shd w:val="clear" w:color="auto" w:fill="D9D9D9" w:themeFill="background1" w:themeFillShade="D9"/>
          </w:tcPr>
          <w:p w:rsidR="00AD1A5C" w:rsidRPr="00AD1A5C" w:rsidRDefault="00AD1A5C" w:rsidP="00AD1A5C">
            <w:pPr>
              <w:autoSpaceDE w:val="0"/>
              <w:autoSpaceDN w:val="0"/>
              <w:adjustRightInd w:val="0"/>
              <w:rPr>
                <w:rFonts w:ascii="Calibri" w:hAnsi="Calibri" w:cs="Calibri"/>
              </w:rPr>
            </w:pPr>
            <w:r w:rsidRPr="00AD1A5C">
              <w:rPr>
                <w:rFonts w:ascii="Calibri" w:hAnsi="Calibri" w:cs="Calibri"/>
              </w:rPr>
              <w:t>Titre du projet</w:t>
            </w:r>
          </w:p>
        </w:tc>
        <w:tc>
          <w:tcPr>
            <w:tcW w:w="5560" w:type="dxa"/>
          </w:tcPr>
          <w:p w:rsidR="00AD1A5C" w:rsidRPr="00AD1A5C" w:rsidRDefault="008C011D" w:rsidP="00AD1A5C">
            <w:pPr>
              <w:autoSpaceDE w:val="0"/>
              <w:autoSpaceDN w:val="0"/>
              <w:adjustRightInd w:val="0"/>
              <w:rPr>
                <w:rFonts w:ascii="Calibri" w:hAnsi="Calibri" w:cs="Calibri"/>
              </w:rPr>
            </w:pPr>
            <w:r>
              <w:rPr>
                <w:rFonts w:ascii="Calibri" w:hAnsi="Calibri" w:cs="Calibri"/>
              </w:rPr>
              <w:t>Projet d’intégration des aspects de l’environnement mondial dans les processus de planification stratégique locale et de suivi de l’Initiative Nationale pour le Développement Humain (INDH) au Maroc</w:t>
            </w:r>
          </w:p>
        </w:tc>
      </w:tr>
      <w:tr w:rsidR="00AD1A5C" w:rsidRPr="00AD1A5C" w:rsidTr="005F317A">
        <w:tc>
          <w:tcPr>
            <w:tcW w:w="3652" w:type="dxa"/>
            <w:shd w:val="clear" w:color="auto" w:fill="D9D9D9" w:themeFill="background1" w:themeFillShade="D9"/>
          </w:tcPr>
          <w:p w:rsidR="00AD1A5C" w:rsidRPr="00AD1A5C" w:rsidRDefault="00AD1A5C" w:rsidP="00AD1A5C">
            <w:pPr>
              <w:autoSpaceDE w:val="0"/>
              <w:autoSpaceDN w:val="0"/>
              <w:adjustRightInd w:val="0"/>
              <w:rPr>
                <w:rFonts w:ascii="Calibri" w:hAnsi="Calibri" w:cs="Calibri"/>
              </w:rPr>
            </w:pPr>
            <w:r w:rsidRPr="00AD1A5C">
              <w:rPr>
                <w:rFonts w:ascii="Calibri" w:hAnsi="Calibri" w:cs="Calibri"/>
              </w:rPr>
              <w:t>Numéro d’identification</w:t>
            </w:r>
            <w:r w:rsidR="008C011D">
              <w:rPr>
                <w:rFonts w:ascii="Calibri" w:hAnsi="Calibri" w:cs="Calibri"/>
              </w:rPr>
              <w:t xml:space="preserve"> FEM</w:t>
            </w:r>
          </w:p>
        </w:tc>
        <w:tc>
          <w:tcPr>
            <w:tcW w:w="5560" w:type="dxa"/>
          </w:tcPr>
          <w:p w:rsidR="00AD1A5C" w:rsidRPr="00AD1A5C" w:rsidRDefault="003A4A23" w:rsidP="00AD1A5C">
            <w:pPr>
              <w:autoSpaceDE w:val="0"/>
              <w:autoSpaceDN w:val="0"/>
              <w:adjustRightInd w:val="0"/>
              <w:rPr>
                <w:rFonts w:ascii="Calibri" w:hAnsi="Calibri" w:cs="Calibri"/>
              </w:rPr>
            </w:pPr>
            <w:r>
              <w:rPr>
                <w:rFonts w:ascii="Calibri" w:hAnsi="Calibri" w:cs="Calibri"/>
              </w:rPr>
              <w:t>PIMS 3707</w:t>
            </w:r>
          </w:p>
        </w:tc>
      </w:tr>
      <w:tr w:rsidR="003A4A23" w:rsidRPr="00AD1A5C" w:rsidTr="005F317A">
        <w:tc>
          <w:tcPr>
            <w:tcW w:w="3652" w:type="dxa"/>
            <w:shd w:val="clear" w:color="auto" w:fill="D9D9D9" w:themeFill="background1" w:themeFillShade="D9"/>
          </w:tcPr>
          <w:p w:rsidR="003A4A23" w:rsidRDefault="003A4A23" w:rsidP="00AD1A5C">
            <w:pPr>
              <w:autoSpaceDE w:val="0"/>
              <w:autoSpaceDN w:val="0"/>
              <w:adjustRightInd w:val="0"/>
              <w:rPr>
                <w:rFonts w:ascii="Calibri" w:hAnsi="Calibri" w:cs="Calibri"/>
              </w:rPr>
            </w:pPr>
            <w:r>
              <w:rPr>
                <w:rFonts w:ascii="Calibri" w:hAnsi="Calibri" w:cs="Calibri"/>
              </w:rPr>
              <w:t>Numéro d’identification PNUD</w:t>
            </w:r>
          </w:p>
        </w:tc>
        <w:tc>
          <w:tcPr>
            <w:tcW w:w="5560" w:type="dxa"/>
          </w:tcPr>
          <w:p w:rsidR="003A4A23" w:rsidRPr="00AD1A5C" w:rsidRDefault="003A4A23" w:rsidP="00AD1A5C">
            <w:pPr>
              <w:autoSpaceDE w:val="0"/>
              <w:autoSpaceDN w:val="0"/>
              <w:adjustRightInd w:val="0"/>
              <w:rPr>
                <w:rFonts w:ascii="Calibri" w:hAnsi="Calibri" w:cs="Calibri"/>
              </w:rPr>
            </w:pPr>
            <w:r>
              <w:rPr>
                <w:rFonts w:ascii="Calibri" w:hAnsi="Calibri" w:cs="Calibri"/>
              </w:rPr>
              <w:t>00062204</w:t>
            </w:r>
          </w:p>
        </w:tc>
      </w:tr>
      <w:tr w:rsidR="00AD1A5C" w:rsidRPr="00AD1A5C" w:rsidTr="005F317A">
        <w:tc>
          <w:tcPr>
            <w:tcW w:w="3652" w:type="dxa"/>
            <w:shd w:val="clear" w:color="auto" w:fill="D9D9D9" w:themeFill="background1" w:themeFillShade="D9"/>
          </w:tcPr>
          <w:p w:rsidR="00AD1A5C" w:rsidRPr="00AD1A5C" w:rsidRDefault="00AD1A5C" w:rsidP="00AD1A5C">
            <w:pPr>
              <w:autoSpaceDE w:val="0"/>
              <w:autoSpaceDN w:val="0"/>
              <w:adjustRightInd w:val="0"/>
              <w:rPr>
                <w:rFonts w:ascii="Calibri" w:hAnsi="Calibri" w:cs="Calibri"/>
              </w:rPr>
            </w:pPr>
            <w:r>
              <w:rPr>
                <w:rFonts w:ascii="Calibri" w:hAnsi="Calibri" w:cs="Calibri"/>
              </w:rPr>
              <w:t>Calendrier de l’évaluation</w:t>
            </w:r>
          </w:p>
        </w:tc>
        <w:tc>
          <w:tcPr>
            <w:tcW w:w="5560" w:type="dxa"/>
          </w:tcPr>
          <w:p w:rsidR="00AD1A5C" w:rsidRPr="00AD1A5C" w:rsidRDefault="003A4A23" w:rsidP="00AD1A5C">
            <w:pPr>
              <w:autoSpaceDE w:val="0"/>
              <w:autoSpaceDN w:val="0"/>
              <w:adjustRightInd w:val="0"/>
              <w:rPr>
                <w:rFonts w:ascii="Calibri" w:hAnsi="Calibri" w:cs="Calibri"/>
              </w:rPr>
            </w:pPr>
            <w:r>
              <w:rPr>
                <w:rFonts w:ascii="Calibri" w:hAnsi="Calibri" w:cs="Calibri"/>
              </w:rPr>
              <w:t>Avril-Mai 2015</w:t>
            </w:r>
          </w:p>
        </w:tc>
      </w:tr>
      <w:tr w:rsidR="00AD1A5C" w:rsidRPr="00AD1A5C" w:rsidTr="005F317A">
        <w:tc>
          <w:tcPr>
            <w:tcW w:w="3652" w:type="dxa"/>
            <w:shd w:val="clear" w:color="auto" w:fill="D9D9D9" w:themeFill="background1" w:themeFillShade="D9"/>
          </w:tcPr>
          <w:p w:rsidR="00AD1A5C" w:rsidRPr="00AD1A5C" w:rsidRDefault="00AD1A5C" w:rsidP="00AD1A5C">
            <w:pPr>
              <w:autoSpaceDE w:val="0"/>
              <w:autoSpaceDN w:val="0"/>
              <w:adjustRightInd w:val="0"/>
              <w:rPr>
                <w:rFonts w:ascii="Calibri" w:hAnsi="Calibri" w:cs="Calibri"/>
              </w:rPr>
            </w:pPr>
            <w:r>
              <w:rPr>
                <w:rFonts w:ascii="Calibri" w:hAnsi="Calibri" w:cs="Calibri"/>
              </w:rPr>
              <w:t>Date du rapport</w:t>
            </w:r>
          </w:p>
        </w:tc>
        <w:tc>
          <w:tcPr>
            <w:tcW w:w="5560" w:type="dxa"/>
          </w:tcPr>
          <w:p w:rsidR="00AD1A5C" w:rsidRPr="00AD1A5C" w:rsidRDefault="003A4A23" w:rsidP="00AD1A5C">
            <w:pPr>
              <w:autoSpaceDE w:val="0"/>
              <w:autoSpaceDN w:val="0"/>
              <w:adjustRightInd w:val="0"/>
              <w:rPr>
                <w:rFonts w:ascii="Calibri" w:hAnsi="Calibri" w:cs="Calibri"/>
              </w:rPr>
            </w:pPr>
            <w:r>
              <w:rPr>
                <w:rFonts w:ascii="Calibri" w:hAnsi="Calibri" w:cs="Calibri"/>
              </w:rPr>
              <w:t>Mai 2015</w:t>
            </w:r>
          </w:p>
        </w:tc>
      </w:tr>
      <w:tr w:rsidR="00AD1A5C" w:rsidRPr="00AD1A5C" w:rsidTr="005F317A">
        <w:tc>
          <w:tcPr>
            <w:tcW w:w="3652" w:type="dxa"/>
            <w:shd w:val="clear" w:color="auto" w:fill="D9D9D9" w:themeFill="background1" w:themeFillShade="D9"/>
          </w:tcPr>
          <w:p w:rsidR="00AD1A5C" w:rsidRPr="00AD1A5C" w:rsidRDefault="00AD1A5C" w:rsidP="00AD1A5C">
            <w:pPr>
              <w:autoSpaceDE w:val="0"/>
              <w:autoSpaceDN w:val="0"/>
              <w:adjustRightInd w:val="0"/>
              <w:rPr>
                <w:rFonts w:ascii="Calibri" w:hAnsi="Calibri" w:cs="Calibri"/>
              </w:rPr>
            </w:pPr>
            <w:r>
              <w:rPr>
                <w:rFonts w:ascii="Calibri" w:hAnsi="Calibri" w:cs="Calibri"/>
              </w:rPr>
              <w:t>Pays</w:t>
            </w:r>
          </w:p>
        </w:tc>
        <w:tc>
          <w:tcPr>
            <w:tcW w:w="5560" w:type="dxa"/>
          </w:tcPr>
          <w:p w:rsidR="00AD1A5C" w:rsidRPr="00AD1A5C" w:rsidRDefault="003A4A23" w:rsidP="00AD1A5C">
            <w:pPr>
              <w:autoSpaceDE w:val="0"/>
              <w:autoSpaceDN w:val="0"/>
              <w:adjustRightInd w:val="0"/>
              <w:rPr>
                <w:rFonts w:ascii="Calibri" w:hAnsi="Calibri" w:cs="Calibri"/>
              </w:rPr>
            </w:pPr>
            <w:r>
              <w:rPr>
                <w:rFonts w:ascii="Calibri" w:hAnsi="Calibri" w:cs="Calibri"/>
              </w:rPr>
              <w:t>Maroc</w:t>
            </w:r>
          </w:p>
        </w:tc>
      </w:tr>
      <w:tr w:rsidR="003A4A23" w:rsidRPr="00AD1A5C" w:rsidTr="005F317A">
        <w:tc>
          <w:tcPr>
            <w:tcW w:w="3652" w:type="dxa"/>
            <w:shd w:val="clear" w:color="auto" w:fill="D9D9D9" w:themeFill="background1" w:themeFillShade="D9"/>
          </w:tcPr>
          <w:p w:rsidR="003A4A23" w:rsidRPr="00AD1A5C" w:rsidRDefault="003A4A23" w:rsidP="00AD1A5C">
            <w:pPr>
              <w:autoSpaceDE w:val="0"/>
              <w:autoSpaceDN w:val="0"/>
              <w:adjustRightInd w:val="0"/>
              <w:rPr>
                <w:rFonts w:ascii="Calibri" w:hAnsi="Calibri" w:cs="Calibri"/>
              </w:rPr>
            </w:pPr>
            <w:r>
              <w:rPr>
                <w:rFonts w:ascii="Calibri" w:hAnsi="Calibri" w:cs="Calibri"/>
              </w:rPr>
              <w:t>Régions</w:t>
            </w:r>
          </w:p>
        </w:tc>
        <w:tc>
          <w:tcPr>
            <w:tcW w:w="5560" w:type="dxa"/>
          </w:tcPr>
          <w:p w:rsidR="003A4A23" w:rsidRDefault="003A4A23" w:rsidP="00AD1A5C">
            <w:pPr>
              <w:autoSpaceDE w:val="0"/>
              <w:autoSpaceDN w:val="0"/>
              <w:adjustRightInd w:val="0"/>
              <w:rPr>
                <w:rFonts w:ascii="Calibri" w:hAnsi="Calibri" w:cs="Calibri"/>
              </w:rPr>
            </w:pPr>
            <w:r>
              <w:rPr>
                <w:rFonts w:ascii="Calibri" w:hAnsi="Calibri" w:cs="Calibri"/>
              </w:rPr>
              <w:t>Tanger-Tétouan</w:t>
            </w:r>
          </w:p>
          <w:p w:rsidR="003A4A23" w:rsidRDefault="003A4A23" w:rsidP="00AD1A5C">
            <w:pPr>
              <w:autoSpaceDE w:val="0"/>
              <w:autoSpaceDN w:val="0"/>
              <w:adjustRightInd w:val="0"/>
              <w:rPr>
                <w:rFonts w:ascii="Calibri" w:hAnsi="Calibri" w:cs="Calibri"/>
              </w:rPr>
            </w:pPr>
            <w:r>
              <w:rPr>
                <w:rFonts w:ascii="Calibri" w:hAnsi="Calibri" w:cs="Calibri"/>
              </w:rPr>
              <w:t>Tadla-Azilal</w:t>
            </w:r>
          </w:p>
          <w:p w:rsidR="003A4A23" w:rsidRDefault="003A4A23" w:rsidP="00AD1A5C">
            <w:pPr>
              <w:autoSpaceDE w:val="0"/>
              <w:autoSpaceDN w:val="0"/>
              <w:adjustRightInd w:val="0"/>
              <w:rPr>
                <w:rFonts w:ascii="Calibri" w:hAnsi="Calibri" w:cs="Calibri"/>
              </w:rPr>
            </w:pPr>
            <w:r>
              <w:rPr>
                <w:rFonts w:ascii="Calibri" w:hAnsi="Calibri" w:cs="Calibri"/>
              </w:rPr>
              <w:t>Souss-Massa-Draa</w:t>
            </w:r>
          </w:p>
        </w:tc>
      </w:tr>
      <w:tr w:rsidR="00AD1A5C" w:rsidRPr="00AD1A5C" w:rsidTr="005F317A">
        <w:tc>
          <w:tcPr>
            <w:tcW w:w="3652" w:type="dxa"/>
            <w:shd w:val="clear" w:color="auto" w:fill="D9D9D9" w:themeFill="background1" w:themeFillShade="D9"/>
          </w:tcPr>
          <w:p w:rsidR="00AD1A5C" w:rsidRPr="00AD1A5C" w:rsidRDefault="00AD1A5C" w:rsidP="00AD1A5C">
            <w:pPr>
              <w:autoSpaceDE w:val="0"/>
              <w:autoSpaceDN w:val="0"/>
              <w:adjustRightInd w:val="0"/>
              <w:rPr>
                <w:rFonts w:ascii="Calibri" w:hAnsi="Calibri" w:cs="Calibri"/>
              </w:rPr>
            </w:pPr>
            <w:r w:rsidRPr="00AD1A5C">
              <w:rPr>
                <w:rFonts w:ascii="Calibri" w:hAnsi="Calibri" w:cs="Calibri"/>
              </w:rPr>
              <w:t>Partenaire de mise en œuvre et autres partenaires de projet</w:t>
            </w:r>
          </w:p>
        </w:tc>
        <w:tc>
          <w:tcPr>
            <w:tcW w:w="5560" w:type="dxa"/>
          </w:tcPr>
          <w:p w:rsidR="00FA7A7E" w:rsidRPr="00FA7A7E" w:rsidRDefault="00FA7A7E" w:rsidP="00FA7A7E">
            <w:pPr>
              <w:autoSpaceDE w:val="0"/>
              <w:autoSpaceDN w:val="0"/>
              <w:adjustRightInd w:val="0"/>
              <w:rPr>
                <w:rFonts w:ascii="Calibri" w:hAnsi="Calibri" w:cs="Calibri"/>
              </w:rPr>
            </w:pPr>
            <w:r w:rsidRPr="00FA7A7E">
              <w:rPr>
                <w:rFonts w:ascii="Calibri" w:hAnsi="Calibri" w:cs="Calibri"/>
              </w:rPr>
              <w:t>Programme des Nations Unies pour le Développement (PNUD)-Partenaire de mise en œuvre pour le GEF</w:t>
            </w:r>
          </w:p>
          <w:p w:rsidR="00FA7A7E" w:rsidRPr="00FA7A7E" w:rsidRDefault="00FA7A7E" w:rsidP="00FA7A7E">
            <w:pPr>
              <w:autoSpaceDE w:val="0"/>
              <w:autoSpaceDN w:val="0"/>
              <w:adjustRightInd w:val="0"/>
              <w:rPr>
                <w:rFonts w:ascii="Calibri" w:hAnsi="Calibri" w:cs="Calibri"/>
              </w:rPr>
            </w:pPr>
            <w:r w:rsidRPr="00FA7A7E">
              <w:rPr>
                <w:rFonts w:ascii="Calibri" w:hAnsi="Calibri" w:cs="Calibri"/>
              </w:rPr>
              <w:t>Ministère Délégué Chargé de l’Environnement (MDCE) – Partenaire de mise en œuvre pour le PNUD</w:t>
            </w:r>
          </w:p>
          <w:p w:rsidR="003A4A23" w:rsidRPr="00AD1A5C" w:rsidRDefault="00FA7A7E" w:rsidP="00FA7A7E">
            <w:pPr>
              <w:autoSpaceDE w:val="0"/>
              <w:autoSpaceDN w:val="0"/>
              <w:adjustRightInd w:val="0"/>
              <w:rPr>
                <w:rFonts w:ascii="Calibri" w:hAnsi="Calibri" w:cs="Calibri"/>
              </w:rPr>
            </w:pPr>
            <w:r w:rsidRPr="00FA7A7E">
              <w:rPr>
                <w:rFonts w:ascii="Calibri" w:hAnsi="Calibri" w:cs="Calibri"/>
              </w:rPr>
              <w:t>Ministère de l’Intérieur (MI)</w:t>
            </w:r>
            <w:r w:rsidR="00AF3FEE">
              <w:rPr>
                <w:rFonts w:ascii="Calibri" w:hAnsi="Calibri" w:cs="Calibri"/>
              </w:rPr>
              <w:t>/DGCL</w:t>
            </w:r>
          </w:p>
        </w:tc>
      </w:tr>
      <w:tr w:rsidR="00AD1A5C" w:rsidRPr="00AD1A5C" w:rsidTr="005F317A">
        <w:tc>
          <w:tcPr>
            <w:tcW w:w="3652" w:type="dxa"/>
            <w:shd w:val="clear" w:color="auto" w:fill="D9D9D9" w:themeFill="background1" w:themeFillShade="D9"/>
          </w:tcPr>
          <w:p w:rsidR="00AD1A5C" w:rsidRPr="00AD1A5C" w:rsidRDefault="00AD1A5C" w:rsidP="00AD1A5C">
            <w:pPr>
              <w:autoSpaceDE w:val="0"/>
              <w:autoSpaceDN w:val="0"/>
              <w:adjustRightInd w:val="0"/>
              <w:rPr>
                <w:rFonts w:cs="ACaslonPro-Regular"/>
                <w:color w:val="000000"/>
              </w:rPr>
            </w:pPr>
            <w:r w:rsidRPr="00AD1A5C">
              <w:rPr>
                <w:rFonts w:cs="ACaslonPro-Regular"/>
                <w:color w:val="000000"/>
              </w:rPr>
              <w:t>M</w:t>
            </w:r>
            <w:r>
              <w:rPr>
                <w:rFonts w:cs="ACaslonPro-Regular"/>
                <w:color w:val="000000"/>
              </w:rPr>
              <w:t>embres de l’équipe d’évaluation</w:t>
            </w:r>
          </w:p>
        </w:tc>
        <w:tc>
          <w:tcPr>
            <w:tcW w:w="5560" w:type="dxa"/>
          </w:tcPr>
          <w:p w:rsidR="00AD1A5C" w:rsidRPr="00AD1A5C" w:rsidRDefault="003A4A23" w:rsidP="00AD1A5C">
            <w:pPr>
              <w:autoSpaceDE w:val="0"/>
              <w:autoSpaceDN w:val="0"/>
              <w:adjustRightInd w:val="0"/>
              <w:rPr>
                <w:rFonts w:ascii="Calibri" w:hAnsi="Calibri" w:cs="Calibri"/>
              </w:rPr>
            </w:pPr>
            <w:r>
              <w:rPr>
                <w:rFonts w:ascii="Calibri" w:hAnsi="Calibri" w:cs="Calibri"/>
              </w:rPr>
              <w:t>Khalid ANOUAR</w:t>
            </w:r>
          </w:p>
        </w:tc>
      </w:tr>
    </w:tbl>
    <w:p w:rsidR="00AD1A5C" w:rsidRDefault="00AD1A5C" w:rsidP="00AD1A5C">
      <w:pPr>
        <w:autoSpaceDE w:val="0"/>
        <w:autoSpaceDN w:val="0"/>
        <w:adjustRightInd w:val="0"/>
        <w:spacing w:after="0" w:line="240" w:lineRule="auto"/>
        <w:rPr>
          <w:rFonts w:ascii="Calibri" w:hAnsi="Calibri" w:cs="Calibri"/>
          <w:color w:val="949699"/>
        </w:rPr>
      </w:pPr>
    </w:p>
    <w:p w:rsidR="005F317A" w:rsidRDefault="005F317A" w:rsidP="008C011D">
      <w:pPr>
        <w:pStyle w:val="Default"/>
        <w:jc w:val="both"/>
        <w:rPr>
          <w:rFonts w:asciiTheme="minorHAnsi" w:hAnsiTheme="minorHAnsi"/>
          <w:b/>
          <w:i/>
          <w:sz w:val="22"/>
          <w:szCs w:val="22"/>
        </w:rPr>
      </w:pPr>
    </w:p>
    <w:p w:rsidR="005F317A" w:rsidRPr="005F317A" w:rsidRDefault="005F317A" w:rsidP="008C011D">
      <w:pPr>
        <w:pStyle w:val="Default"/>
        <w:jc w:val="both"/>
        <w:rPr>
          <w:rFonts w:asciiTheme="minorHAnsi" w:hAnsiTheme="minorHAnsi"/>
          <w:b/>
          <w:i/>
          <w:sz w:val="22"/>
          <w:szCs w:val="22"/>
        </w:rPr>
      </w:pPr>
      <w:r w:rsidRPr="005F317A">
        <w:rPr>
          <w:rFonts w:asciiTheme="minorHAnsi" w:hAnsiTheme="minorHAnsi"/>
          <w:b/>
          <w:i/>
          <w:sz w:val="22"/>
          <w:szCs w:val="22"/>
        </w:rPr>
        <w:t>Remerciements</w:t>
      </w:r>
    </w:p>
    <w:p w:rsidR="005F317A" w:rsidRDefault="005F317A" w:rsidP="008C011D">
      <w:pPr>
        <w:pStyle w:val="Default"/>
        <w:jc w:val="both"/>
        <w:rPr>
          <w:rFonts w:asciiTheme="minorHAnsi" w:hAnsiTheme="minorHAnsi"/>
          <w:sz w:val="22"/>
          <w:szCs w:val="22"/>
        </w:rPr>
      </w:pPr>
    </w:p>
    <w:p w:rsidR="008C011D" w:rsidRDefault="00AD1A5C" w:rsidP="008C011D">
      <w:pPr>
        <w:pStyle w:val="Default"/>
        <w:jc w:val="both"/>
        <w:rPr>
          <w:rFonts w:asciiTheme="minorHAnsi" w:hAnsiTheme="minorHAnsi"/>
          <w:sz w:val="22"/>
          <w:szCs w:val="22"/>
        </w:rPr>
      </w:pPr>
      <w:r w:rsidRPr="008C011D">
        <w:rPr>
          <w:rFonts w:asciiTheme="minorHAnsi" w:hAnsiTheme="minorHAnsi"/>
          <w:sz w:val="22"/>
          <w:szCs w:val="22"/>
        </w:rPr>
        <w:t xml:space="preserve">L’auteur de cette évaluation finale, M. Khalid Anouar, souhaite exprimer ses sincères remerciements à toutes les parties prenantes et les bénéficiaires du </w:t>
      </w:r>
      <w:r w:rsidRPr="008C011D">
        <w:rPr>
          <w:rFonts w:asciiTheme="minorHAnsi" w:hAnsiTheme="minorHAnsi"/>
          <w:i/>
          <w:iCs/>
          <w:sz w:val="22"/>
          <w:szCs w:val="22"/>
        </w:rPr>
        <w:t>‘</w:t>
      </w:r>
      <w:r w:rsidR="008C011D" w:rsidRPr="008C011D">
        <w:rPr>
          <w:rFonts w:asciiTheme="minorHAnsi" w:hAnsiTheme="minorHAnsi"/>
          <w:i/>
          <w:iCs/>
          <w:sz w:val="22"/>
          <w:szCs w:val="22"/>
        </w:rPr>
        <w:t>Projet d’intégration de la dimension environnementale dans la planification et la gestion locales (CB2) – Vers un ancrage du développement durable au niveau local</w:t>
      </w:r>
      <w:r w:rsidR="008C011D">
        <w:rPr>
          <w:rFonts w:asciiTheme="minorHAnsi" w:hAnsiTheme="minorHAnsi"/>
          <w:i/>
          <w:iCs/>
          <w:sz w:val="22"/>
          <w:szCs w:val="22"/>
        </w:rPr>
        <w:t>’</w:t>
      </w:r>
      <w:r w:rsidRPr="008C011D">
        <w:rPr>
          <w:rFonts w:asciiTheme="minorHAnsi" w:hAnsiTheme="minorHAnsi"/>
          <w:sz w:val="22"/>
          <w:szCs w:val="22"/>
        </w:rPr>
        <w:t>. Ces acteurs, rencontrés et consultés durant la mi</w:t>
      </w:r>
      <w:r w:rsidR="008C011D">
        <w:rPr>
          <w:rFonts w:asciiTheme="minorHAnsi" w:hAnsiTheme="minorHAnsi"/>
          <w:sz w:val="22"/>
          <w:szCs w:val="22"/>
        </w:rPr>
        <w:t xml:space="preserve">ssion sur le terrain au Maroc </w:t>
      </w:r>
      <w:r w:rsidR="00FA631C">
        <w:rPr>
          <w:rFonts w:asciiTheme="minorHAnsi" w:hAnsiTheme="minorHAnsi"/>
          <w:sz w:val="22"/>
          <w:szCs w:val="22"/>
        </w:rPr>
        <w:t>au cours de</w:t>
      </w:r>
      <w:r w:rsidR="008C011D">
        <w:rPr>
          <w:rFonts w:asciiTheme="minorHAnsi" w:hAnsiTheme="minorHAnsi"/>
          <w:sz w:val="22"/>
          <w:szCs w:val="22"/>
        </w:rPr>
        <w:t xml:space="preserve"> la première moitié du mois de</w:t>
      </w:r>
      <w:r w:rsidR="008C011D" w:rsidRPr="008C011D">
        <w:rPr>
          <w:rFonts w:asciiTheme="minorHAnsi" w:hAnsiTheme="minorHAnsi"/>
          <w:sz w:val="22"/>
          <w:szCs w:val="22"/>
        </w:rPr>
        <w:t>mai 2015</w:t>
      </w:r>
      <w:r w:rsidRPr="008C011D">
        <w:rPr>
          <w:rFonts w:asciiTheme="minorHAnsi" w:hAnsiTheme="minorHAnsi"/>
          <w:sz w:val="22"/>
          <w:szCs w:val="22"/>
        </w:rPr>
        <w:t>, ont généreusement donné leur avis et leurs opinions sur les résultats et impacts du projet.</w:t>
      </w:r>
    </w:p>
    <w:p w:rsidR="00AD1A5C" w:rsidRPr="008C011D" w:rsidRDefault="00AD1A5C" w:rsidP="008C011D">
      <w:pPr>
        <w:pStyle w:val="Default"/>
        <w:jc w:val="both"/>
        <w:rPr>
          <w:rFonts w:asciiTheme="minorHAnsi" w:hAnsiTheme="minorHAnsi"/>
          <w:sz w:val="22"/>
          <w:szCs w:val="22"/>
        </w:rPr>
      </w:pPr>
    </w:p>
    <w:p w:rsidR="008C011D" w:rsidRPr="008C011D" w:rsidRDefault="00AD1A5C" w:rsidP="008C011D">
      <w:pPr>
        <w:autoSpaceDE w:val="0"/>
        <w:autoSpaceDN w:val="0"/>
        <w:adjustRightInd w:val="0"/>
        <w:spacing w:after="0" w:line="240" w:lineRule="auto"/>
        <w:jc w:val="both"/>
        <w:rPr>
          <w:i/>
          <w:iCs/>
        </w:rPr>
      </w:pPr>
      <w:r w:rsidRPr="008C011D">
        <w:t>L</w:t>
      </w:r>
      <w:r w:rsidR="008C011D" w:rsidRPr="008C011D">
        <w:t>’auteur</w:t>
      </w:r>
      <w:r w:rsidRPr="008C011D">
        <w:t xml:space="preserve"> tient</w:t>
      </w:r>
      <w:r w:rsidR="008C011D" w:rsidRPr="008C011D">
        <w:t xml:space="preserve"> également</w:t>
      </w:r>
      <w:r w:rsidRPr="008C011D">
        <w:t xml:space="preserve"> à remercier pour leur disponibilité et leurs contributions en particulier le Bureau du</w:t>
      </w:r>
      <w:r w:rsidR="00461FF2">
        <w:t xml:space="preserve"> PNUD Maroc, la Direction du Partenariat</w:t>
      </w:r>
      <w:r w:rsidR="008C011D" w:rsidRPr="008C011D">
        <w:t xml:space="preserve"> de la </w:t>
      </w:r>
      <w:r w:rsidR="00461FF2" w:rsidRPr="008C011D">
        <w:t xml:space="preserve">communication </w:t>
      </w:r>
      <w:r w:rsidR="008C011D" w:rsidRPr="008C011D">
        <w:t xml:space="preserve">et de la </w:t>
      </w:r>
      <w:r w:rsidR="00461FF2" w:rsidRPr="008C011D">
        <w:t xml:space="preserve">coopération </w:t>
      </w:r>
      <w:r w:rsidRPr="008C011D">
        <w:rPr>
          <w:i/>
          <w:iCs/>
        </w:rPr>
        <w:t>(D</w:t>
      </w:r>
      <w:r w:rsidR="008C011D" w:rsidRPr="008C011D">
        <w:rPr>
          <w:i/>
          <w:iCs/>
        </w:rPr>
        <w:t>PCC</w:t>
      </w:r>
      <w:r w:rsidRPr="008C011D">
        <w:rPr>
          <w:i/>
          <w:iCs/>
        </w:rPr>
        <w:t xml:space="preserve">), </w:t>
      </w:r>
      <w:r w:rsidRPr="008C011D">
        <w:t xml:space="preserve">les partenaires nationaux clés du projet </w:t>
      </w:r>
      <w:r w:rsidR="008C011D" w:rsidRPr="008C011D">
        <w:t xml:space="preserve">(DGCL) </w:t>
      </w:r>
      <w:r w:rsidRPr="008C011D">
        <w:t xml:space="preserve">et les partenaires </w:t>
      </w:r>
      <w:r w:rsidR="00AB4545">
        <w:t>au</w:t>
      </w:r>
      <w:r w:rsidRPr="008C011D">
        <w:t xml:space="preserve"> développement </w:t>
      </w:r>
      <w:r w:rsidRPr="008C011D">
        <w:rPr>
          <w:i/>
          <w:iCs/>
        </w:rPr>
        <w:t>(</w:t>
      </w:r>
      <w:r w:rsidR="008C011D" w:rsidRPr="008C011D">
        <w:rPr>
          <w:i/>
          <w:iCs/>
        </w:rPr>
        <w:t>GIZ</w:t>
      </w:r>
      <w:r w:rsidRPr="008C011D">
        <w:rPr>
          <w:i/>
          <w:iCs/>
        </w:rPr>
        <w:t xml:space="preserve">). </w:t>
      </w:r>
    </w:p>
    <w:p w:rsidR="008C011D" w:rsidRDefault="008C011D" w:rsidP="008C011D">
      <w:pPr>
        <w:autoSpaceDE w:val="0"/>
        <w:autoSpaceDN w:val="0"/>
        <w:adjustRightInd w:val="0"/>
        <w:spacing w:after="0" w:line="240" w:lineRule="auto"/>
        <w:jc w:val="both"/>
      </w:pPr>
    </w:p>
    <w:p w:rsidR="00AD1A5C" w:rsidRPr="008C011D" w:rsidRDefault="00AD1A5C" w:rsidP="008C011D">
      <w:pPr>
        <w:autoSpaceDE w:val="0"/>
        <w:autoSpaceDN w:val="0"/>
        <w:adjustRightInd w:val="0"/>
        <w:spacing w:after="0" w:line="240" w:lineRule="auto"/>
        <w:jc w:val="both"/>
        <w:rPr>
          <w:rFonts w:cs="Calibri"/>
          <w:color w:val="949699"/>
        </w:rPr>
      </w:pPr>
      <w:r w:rsidRPr="008C011D">
        <w:t>La coopération avec l'équipe du projet à travers la coordinatrice nationale du pro</w:t>
      </w:r>
      <w:r w:rsidR="008C011D">
        <w:t>jet</w:t>
      </w:r>
      <w:r w:rsidRPr="008C011D">
        <w:t>, les partenaires du projet et le PNUD Maroc</w:t>
      </w:r>
      <w:r w:rsidR="008C011D" w:rsidRPr="008C011D">
        <w:t xml:space="preserve"> était très satisfaisante et l’</w:t>
      </w:r>
      <w:r w:rsidRPr="008C011D">
        <w:t xml:space="preserve">évaluateur </w:t>
      </w:r>
      <w:r w:rsidR="008C011D" w:rsidRPr="008C011D">
        <w:t xml:space="preserve">a </w:t>
      </w:r>
      <w:r w:rsidRPr="008C011D">
        <w:t xml:space="preserve">reçu </w:t>
      </w:r>
      <w:r w:rsidR="00731F88">
        <w:t xml:space="preserve">l’appui nécessaire pour l’organisation des entretiens et des visites de terrain ainsi que </w:t>
      </w:r>
      <w:r w:rsidRPr="008C011D">
        <w:t>l’essentiel des informations demandées.</w:t>
      </w:r>
    </w:p>
    <w:p w:rsidR="00AD1A5C" w:rsidRDefault="00AD1A5C" w:rsidP="00AD1A5C">
      <w:pPr>
        <w:autoSpaceDE w:val="0"/>
        <w:autoSpaceDN w:val="0"/>
        <w:adjustRightInd w:val="0"/>
        <w:spacing w:after="0" w:line="240" w:lineRule="auto"/>
        <w:rPr>
          <w:rFonts w:ascii="Calibri" w:hAnsi="Calibri" w:cs="Calibri"/>
          <w:color w:val="949699"/>
        </w:rPr>
      </w:pPr>
    </w:p>
    <w:p w:rsidR="00B77242" w:rsidRDefault="00B77242" w:rsidP="00AD1A5C">
      <w:pPr>
        <w:autoSpaceDE w:val="0"/>
        <w:autoSpaceDN w:val="0"/>
        <w:adjustRightInd w:val="0"/>
        <w:spacing w:after="0" w:line="240" w:lineRule="auto"/>
        <w:rPr>
          <w:rFonts w:ascii="Calibri" w:hAnsi="Calibri" w:cs="Calibri"/>
          <w:color w:val="949699"/>
        </w:rPr>
      </w:pPr>
    </w:p>
    <w:p w:rsidR="00B77242" w:rsidRDefault="00B77242" w:rsidP="00AD1A5C">
      <w:pPr>
        <w:autoSpaceDE w:val="0"/>
        <w:autoSpaceDN w:val="0"/>
        <w:adjustRightInd w:val="0"/>
        <w:spacing w:after="0" w:line="240" w:lineRule="auto"/>
        <w:rPr>
          <w:rFonts w:ascii="Calibri" w:hAnsi="Calibri" w:cs="Calibri"/>
          <w:color w:val="949699"/>
        </w:rPr>
      </w:pPr>
    </w:p>
    <w:p w:rsidR="00B77242" w:rsidRDefault="00B77242" w:rsidP="00AD1A5C">
      <w:pPr>
        <w:autoSpaceDE w:val="0"/>
        <w:autoSpaceDN w:val="0"/>
        <w:adjustRightInd w:val="0"/>
        <w:spacing w:after="0" w:line="240" w:lineRule="auto"/>
        <w:rPr>
          <w:rFonts w:ascii="Calibri" w:hAnsi="Calibri" w:cs="Calibri"/>
          <w:color w:val="949699"/>
        </w:rPr>
      </w:pPr>
    </w:p>
    <w:p w:rsidR="00B77242" w:rsidRDefault="00B77242" w:rsidP="00AD1A5C">
      <w:pPr>
        <w:autoSpaceDE w:val="0"/>
        <w:autoSpaceDN w:val="0"/>
        <w:adjustRightInd w:val="0"/>
        <w:spacing w:after="0" w:line="240" w:lineRule="auto"/>
        <w:rPr>
          <w:rFonts w:ascii="Calibri" w:hAnsi="Calibri" w:cs="Calibri"/>
          <w:color w:val="949699"/>
        </w:rPr>
      </w:pPr>
    </w:p>
    <w:p w:rsidR="00B77242" w:rsidRDefault="00B77242" w:rsidP="00AD1A5C">
      <w:pPr>
        <w:autoSpaceDE w:val="0"/>
        <w:autoSpaceDN w:val="0"/>
        <w:adjustRightInd w:val="0"/>
        <w:spacing w:after="0" w:line="240" w:lineRule="auto"/>
        <w:rPr>
          <w:rFonts w:ascii="Calibri" w:hAnsi="Calibri" w:cs="Calibri"/>
          <w:color w:val="949699"/>
        </w:rPr>
      </w:pPr>
    </w:p>
    <w:p w:rsidR="00B77242" w:rsidRDefault="00B77242" w:rsidP="00AD1A5C">
      <w:pPr>
        <w:autoSpaceDE w:val="0"/>
        <w:autoSpaceDN w:val="0"/>
        <w:adjustRightInd w:val="0"/>
        <w:spacing w:after="0" w:line="240" w:lineRule="auto"/>
        <w:rPr>
          <w:rFonts w:ascii="Calibri" w:hAnsi="Calibri" w:cs="Calibri"/>
          <w:color w:val="949699"/>
        </w:rPr>
      </w:pPr>
    </w:p>
    <w:p w:rsidR="00B77242" w:rsidRDefault="00B77242" w:rsidP="00AD1A5C">
      <w:pPr>
        <w:autoSpaceDE w:val="0"/>
        <w:autoSpaceDN w:val="0"/>
        <w:adjustRightInd w:val="0"/>
        <w:spacing w:after="0" w:line="240" w:lineRule="auto"/>
        <w:rPr>
          <w:rFonts w:ascii="Calibri" w:hAnsi="Calibri" w:cs="Calibri"/>
          <w:color w:val="949699"/>
        </w:rPr>
      </w:pPr>
    </w:p>
    <w:p w:rsidR="00B77242" w:rsidRDefault="00B77242" w:rsidP="00AD1A5C">
      <w:pPr>
        <w:autoSpaceDE w:val="0"/>
        <w:autoSpaceDN w:val="0"/>
        <w:adjustRightInd w:val="0"/>
        <w:spacing w:after="0" w:line="240" w:lineRule="auto"/>
        <w:rPr>
          <w:rFonts w:ascii="Calibri" w:hAnsi="Calibri" w:cs="Calibri"/>
          <w:color w:val="949699"/>
        </w:rPr>
      </w:pPr>
    </w:p>
    <w:p w:rsidR="00B77242" w:rsidRDefault="00B77242" w:rsidP="00AD1A5C">
      <w:pPr>
        <w:autoSpaceDE w:val="0"/>
        <w:autoSpaceDN w:val="0"/>
        <w:adjustRightInd w:val="0"/>
        <w:spacing w:after="0" w:line="240" w:lineRule="auto"/>
        <w:rPr>
          <w:rFonts w:ascii="Calibri" w:hAnsi="Calibri" w:cs="Calibri"/>
          <w:color w:val="949699"/>
        </w:rPr>
      </w:pPr>
    </w:p>
    <w:p w:rsidR="00B77242" w:rsidRPr="000D7BB5" w:rsidRDefault="000D7BB5" w:rsidP="00AD1A5C">
      <w:pPr>
        <w:autoSpaceDE w:val="0"/>
        <w:autoSpaceDN w:val="0"/>
        <w:adjustRightInd w:val="0"/>
        <w:spacing w:after="0" w:line="240" w:lineRule="auto"/>
        <w:rPr>
          <w:rFonts w:ascii="Calibri" w:hAnsi="Calibri" w:cs="Calibri"/>
          <w:sz w:val="18"/>
          <w:szCs w:val="18"/>
        </w:rPr>
      </w:pPr>
      <w:r w:rsidRPr="000D7BB5">
        <w:rPr>
          <w:rFonts w:ascii="Calibri" w:hAnsi="Calibri" w:cs="Calibri"/>
          <w:sz w:val="18"/>
          <w:szCs w:val="18"/>
        </w:rPr>
        <w:t>Photos de couverture, propriété de l’évaluateur</w:t>
      </w:r>
      <w:r>
        <w:rPr>
          <w:rFonts w:ascii="Calibri" w:hAnsi="Calibri" w:cs="Calibri"/>
          <w:sz w:val="18"/>
          <w:szCs w:val="18"/>
        </w:rPr>
        <w:t>.</w:t>
      </w:r>
    </w:p>
    <w:p w:rsidR="005F317A" w:rsidRPr="000D7BB5" w:rsidRDefault="005F317A" w:rsidP="00AD1A5C">
      <w:pPr>
        <w:autoSpaceDE w:val="0"/>
        <w:autoSpaceDN w:val="0"/>
        <w:adjustRightInd w:val="0"/>
        <w:spacing w:after="0" w:line="240" w:lineRule="auto"/>
        <w:rPr>
          <w:rFonts w:ascii="Calibri" w:hAnsi="Calibri" w:cs="Calibri"/>
          <w:sz w:val="18"/>
          <w:szCs w:val="18"/>
        </w:rPr>
        <w:sectPr w:rsidR="005F317A" w:rsidRPr="000D7BB5" w:rsidSect="00511D1F">
          <w:headerReference w:type="default" r:id="rId14"/>
          <w:footerReference w:type="default" r:id="rId15"/>
          <w:pgSz w:w="11906" w:h="16838"/>
          <w:pgMar w:top="1417" w:right="1417" w:bottom="1417" w:left="1417" w:header="708" w:footer="708" w:gutter="0"/>
          <w:pgNumType w:fmt="lowerRoman"/>
          <w:cols w:space="708"/>
          <w:docGrid w:linePitch="360"/>
        </w:sectPr>
      </w:pPr>
    </w:p>
    <w:p w:rsidR="005F317A" w:rsidRPr="00F63F00" w:rsidRDefault="005F317A" w:rsidP="00F63F00">
      <w:pPr>
        <w:autoSpaceDE w:val="0"/>
        <w:autoSpaceDN w:val="0"/>
        <w:adjustRightInd w:val="0"/>
        <w:spacing w:after="0" w:line="240" w:lineRule="auto"/>
        <w:jc w:val="center"/>
        <w:rPr>
          <w:rFonts w:ascii="Calibri" w:hAnsi="Calibri" w:cs="Calibri"/>
          <w:b/>
        </w:rPr>
      </w:pPr>
      <w:r w:rsidRPr="00F63F00">
        <w:rPr>
          <w:rFonts w:ascii="Calibri" w:hAnsi="Calibri" w:cs="Calibri"/>
          <w:b/>
        </w:rPr>
        <w:lastRenderedPageBreak/>
        <w:t>Table des matières</w:t>
      </w:r>
    </w:p>
    <w:p w:rsidR="00F260FC" w:rsidRDefault="006D55EB">
      <w:pPr>
        <w:pStyle w:val="TM1"/>
        <w:rPr>
          <w:rFonts w:eastAsiaTheme="minorEastAsia" w:cstheme="minorBidi"/>
          <w:b w:val="0"/>
          <w:lang w:eastAsia="fr-FR"/>
        </w:rPr>
      </w:pPr>
      <w:r w:rsidRPr="006D55EB">
        <w:rPr>
          <w:rFonts w:ascii="Calibri" w:hAnsi="Calibri" w:cs="Calibri"/>
        </w:rPr>
        <w:fldChar w:fldCharType="begin"/>
      </w:r>
      <w:r w:rsidR="00F5135C">
        <w:rPr>
          <w:rFonts w:ascii="Calibri" w:hAnsi="Calibri" w:cs="Calibri"/>
        </w:rPr>
        <w:instrText xml:space="preserve"> TOC \o "1-3" \h \z \u </w:instrText>
      </w:r>
      <w:r w:rsidRPr="006D55EB">
        <w:rPr>
          <w:rFonts w:ascii="Calibri" w:hAnsi="Calibri" w:cs="Calibri"/>
        </w:rPr>
        <w:fldChar w:fldCharType="separate"/>
      </w:r>
      <w:hyperlink w:anchor="_Toc425414545" w:history="1">
        <w:r w:rsidR="00F260FC" w:rsidRPr="005E7E5B">
          <w:rPr>
            <w:rStyle w:val="Lienhypertexte"/>
          </w:rPr>
          <w:t>Résumé</w:t>
        </w:r>
        <w:r w:rsidR="00F260FC">
          <w:rPr>
            <w:webHidden/>
          </w:rPr>
          <w:tab/>
        </w:r>
        <w:r>
          <w:rPr>
            <w:webHidden/>
          </w:rPr>
          <w:fldChar w:fldCharType="begin"/>
        </w:r>
        <w:r w:rsidR="00F260FC">
          <w:rPr>
            <w:webHidden/>
          </w:rPr>
          <w:instrText xml:space="preserve"> PAGEREF _Toc425414545 \h </w:instrText>
        </w:r>
        <w:r>
          <w:rPr>
            <w:webHidden/>
          </w:rPr>
        </w:r>
        <w:r>
          <w:rPr>
            <w:webHidden/>
          </w:rPr>
          <w:fldChar w:fldCharType="separate"/>
        </w:r>
        <w:r w:rsidR="00F260FC">
          <w:rPr>
            <w:webHidden/>
          </w:rPr>
          <w:t>6</w:t>
        </w:r>
        <w:r>
          <w:rPr>
            <w:webHidden/>
          </w:rPr>
          <w:fldChar w:fldCharType="end"/>
        </w:r>
      </w:hyperlink>
    </w:p>
    <w:p w:rsidR="00F260FC" w:rsidRDefault="006D55EB">
      <w:pPr>
        <w:pStyle w:val="TM2"/>
        <w:tabs>
          <w:tab w:val="right" w:leader="dot" w:pos="9062"/>
        </w:tabs>
        <w:rPr>
          <w:rFonts w:eastAsiaTheme="minorEastAsia"/>
          <w:noProof/>
          <w:lang w:eastAsia="fr-FR"/>
        </w:rPr>
      </w:pPr>
      <w:hyperlink w:anchor="_Toc425414546" w:history="1">
        <w:r w:rsidR="00F260FC" w:rsidRPr="005E7E5B">
          <w:rPr>
            <w:rStyle w:val="Lienhypertexte"/>
            <w:rFonts w:cs="MyriadPro-Bold"/>
            <w:noProof/>
          </w:rPr>
          <w:t>Tableau de résumé du projet</w:t>
        </w:r>
        <w:r w:rsidR="00F260FC">
          <w:rPr>
            <w:noProof/>
            <w:webHidden/>
          </w:rPr>
          <w:tab/>
        </w:r>
        <w:r>
          <w:rPr>
            <w:noProof/>
            <w:webHidden/>
          </w:rPr>
          <w:fldChar w:fldCharType="begin"/>
        </w:r>
        <w:r w:rsidR="00F260FC">
          <w:rPr>
            <w:noProof/>
            <w:webHidden/>
          </w:rPr>
          <w:instrText xml:space="preserve"> PAGEREF _Toc425414546 \h </w:instrText>
        </w:r>
        <w:r>
          <w:rPr>
            <w:noProof/>
            <w:webHidden/>
          </w:rPr>
        </w:r>
        <w:r>
          <w:rPr>
            <w:noProof/>
            <w:webHidden/>
          </w:rPr>
          <w:fldChar w:fldCharType="separate"/>
        </w:r>
        <w:r w:rsidR="00F260FC">
          <w:rPr>
            <w:noProof/>
            <w:webHidden/>
          </w:rPr>
          <w:t>6</w:t>
        </w:r>
        <w:r>
          <w:rPr>
            <w:noProof/>
            <w:webHidden/>
          </w:rPr>
          <w:fldChar w:fldCharType="end"/>
        </w:r>
      </w:hyperlink>
    </w:p>
    <w:p w:rsidR="00F260FC" w:rsidRDefault="006D55EB">
      <w:pPr>
        <w:pStyle w:val="TM2"/>
        <w:tabs>
          <w:tab w:val="right" w:leader="dot" w:pos="9062"/>
        </w:tabs>
        <w:rPr>
          <w:rFonts w:eastAsiaTheme="minorEastAsia"/>
          <w:noProof/>
          <w:lang w:eastAsia="fr-FR"/>
        </w:rPr>
      </w:pPr>
      <w:hyperlink w:anchor="_Toc425414547" w:history="1">
        <w:r w:rsidR="00F260FC" w:rsidRPr="005E7E5B">
          <w:rPr>
            <w:rStyle w:val="Lienhypertexte"/>
            <w:rFonts w:cs="ACaslonPro-Regular"/>
            <w:noProof/>
          </w:rPr>
          <w:t>Description du projet</w:t>
        </w:r>
        <w:r w:rsidR="00F260FC">
          <w:rPr>
            <w:noProof/>
            <w:webHidden/>
          </w:rPr>
          <w:tab/>
        </w:r>
        <w:r>
          <w:rPr>
            <w:noProof/>
            <w:webHidden/>
          </w:rPr>
          <w:fldChar w:fldCharType="begin"/>
        </w:r>
        <w:r w:rsidR="00F260FC">
          <w:rPr>
            <w:noProof/>
            <w:webHidden/>
          </w:rPr>
          <w:instrText xml:space="preserve"> PAGEREF _Toc425414547 \h </w:instrText>
        </w:r>
        <w:r>
          <w:rPr>
            <w:noProof/>
            <w:webHidden/>
          </w:rPr>
        </w:r>
        <w:r>
          <w:rPr>
            <w:noProof/>
            <w:webHidden/>
          </w:rPr>
          <w:fldChar w:fldCharType="separate"/>
        </w:r>
        <w:r w:rsidR="00F260FC">
          <w:rPr>
            <w:noProof/>
            <w:webHidden/>
          </w:rPr>
          <w:t>6</w:t>
        </w:r>
        <w:r>
          <w:rPr>
            <w:noProof/>
            <w:webHidden/>
          </w:rPr>
          <w:fldChar w:fldCharType="end"/>
        </w:r>
      </w:hyperlink>
    </w:p>
    <w:p w:rsidR="00F260FC" w:rsidRDefault="006D55EB">
      <w:pPr>
        <w:pStyle w:val="TM2"/>
        <w:tabs>
          <w:tab w:val="right" w:leader="dot" w:pos="9062"/>
        </w:tabs>
        <w:rPr>
          <w:rFonts w:eastAsiaTheme="minorEastAsia"/>
          <w:noProof/>
          <w:lang w:eastAsia="fr-FR"/>
        </w:rPr>
      </w:pPr>
      <w:hyperlink w:anchor="_Toc425414548" w:history="1">
        <w:r w:rsidR="00F260FC" w:rsidRPr="005E7E5B">
          <w:rPr>
            <w:rStyle w:val="Lienhypertexte"/>
            <w:rFonts w:cs="ACaslonPro-Regular"/>
            <w:noProof/>
          </w:rPr>
          <w:t>Tableau de notations d’évaluation</w:t>
        </w:r>
        <w:r w:rsidR="00F260FC">
          <w:rPr>
            <w:noProof/>
            <w:webHidden/>
          </w:rPr>
          <w:tab/>
        </w:r>
        <w:r>
          <w:rPr>
            <w:noProof/>
            <w:webHidden/>
          </w:rPr>
          <w:fldChar w:fldCharType="begin"/>
        </w:r>
        <w:r w:rsidR="00F260FC">
          <w:rPr>
            <w:noProof/>
            <w:webHidden/>
          </w:rPr>
          <w:instrText xml:space="preserve"> PAGEREF _Toc425414548 \h </w:instrText>
        </w:r>
        <w:r>
          <w:rPr>
            <w:noProof/>
            <w:webHidden/>
          </w:rPr>
        </w:r>
        <w:r>
          <w:rPr>
            <w:noProof/>
            <w:webHidden/>
          </w:rPr>
          <w:fldChar w:fldCharType="separate"/>
        </w:r>
        <w:r w:rsidR="00F260FC">
          <w:rPr>
            <w:noProof/>
            <w:webHidden/>
          </w:rPr>
          <w:t>7</w:t>
        </w:r>
        <w:r>
          <w:rPr>
            <w:noProof/>
            <w:webHidden/>
          </w:rPr>
          <w:fldChar w:fldCharType="end"/>
        </w:r>
      </w:hyperlink>
    </w:p>
    <w:p w:rsidR="00F260FC" w:rsidRDefault="006D55EB">
      <w:pPr>
        <w:pStyle w:val="TM1"/>
        <w:rPr>
          <w:rFonts w:eastAsiaTheme="minorEastAsia" w:cstheme="minorBidi"/>
          <w:b w:val="0"/>
          <w:lang w:eastAsia="fr-FR"/>
        </w:rPr>
      </w:pPr>
      <w:hyperlink w:anchor="_Toc425414549" w:history="1">
        <w:r w:rsidR="00F260FC" w:rsidRPr="005E7E5B">
          <w:rPr>
            <w:rStyle w:val="Lienhypertexte"/>
            <w:rFonts w:cs="ACaslonPro-Regular"/>
          </w:rPr>
          <w:t>Résumé des conclusions, des enseignements et des recommandations</w:t>
        </w:r>
        <w:r w:rsidR="00F260FC">
          <w:rPr>
            <w:webHidden/>
          </w:rPr>
          <w:tab/>
        </w:r>
        <w:r>
          <w:rPr>
            <w:webHidden/>
          </w:rPr>
          <w:fldChar w:fldCharType="begin"/>
        </w:r>
        <w:r w:rsidR="00F260FC">
          <w:rPr>
            <w:webHidden/>
          </w:rPr>
          <w:instrText xml:space="preserve"> PAGEREF _Toc425414549 \h </w:instrText>
        </w:r>
        <w:r>
          <w:rPr>
            <w:webHidden/>
          </w:rPr>
        </w:r>
        <w:r>
          <w:rPr>
            <w:webHidden/>
          </w:rPr>
          <w:fldChar w:fldCharType="separate"/>
        </w:r>
        <w:r w:rsidR="00F260FC">
          <w:rPr>
            <w:webHidden/>
          </w:rPr>
          <w:t>8</w:t>
        </w:r>
        <w:r>
          <w:rPr>
            <w:webHidden/>
          </w:rPr>
          <w:fldChar w:fldCharType="end"/>
        </w:r>
      </w:hyperlink>
    </w:p>
    <w:p w:rsidR="00F260FC" w:rsidRDefault="006D55EB">
      <w:pPr>
        <w:pStyle w:val="TM2"/>
        <w:tabs>
          <w:tab w:val="right" w:leader="dot" w:pos="9062"/>
        </w:tabs>
        <w:rPr>
          <w:rFonts w:eastAsiaTheme="minorEastAsia"/>
          <w:noProof/>
          <w:lang w:eastAsia="fr-FR"/>
        </w:rPr>
      </w:pPr>
      <w:hyperlink w:anchor="_Toc425414550" w:history="1">
        <w:r w:rsidR="00F260FC" w:rsidRPr="005E7E5B">
          <w:rPr>
            <w:rStyle w:val="Lienhypertexte"/>
            <w:rFonts w:cs="MyriadPro-Bold"/>
            <w:noProof/>
          </w:rPr>
          <w:t>Conclusions</w:t>
        </w:r>
        <w:r w:rsidR="00F260FC">
          <w:rPr>
            <w:noProof/>
            <w:webHidden/>
          </w:rPr>
          <w:tab/>
        </w:r>
        <w:r>
          <w:rPr>
            <w:noProof/>
            <w:webHidden/>
          </w:rPr>
          <w:fldChar w:fldCharType="begin"/>
        </w:r>
        <w:r w:rsidR="00F260FC">
          <w:rPr>
            <w:noProof/>
            <w:webHidden/>
          </w:rPr>
          <w:instrText xml:space="preserve"> PAGEREF _Toc425414550 \h </w:instrText>
        </w:r>
        <w:r>
          <w:rPr>
            <w:noProof/>
            <w:webHidden/>
          </w:rPr>
        </w:r>
        <w:r>
          <w:rPr>
            <w:noProof/>
            <w:webHidden/>
          </w:rPr>
          <w:fldChar w:fldCharType="separate"/>
        </w:r>
        <w:r w:rsidR="00F260FC">
          <w:rPr>
            <w:noProof/>
            <w:webHidden/>
          </w:rPr>
          <w:t>8</w:t>
        </w:r>
        <w:r>
          <w:rPr>
            <w:noProof/>
            <w:webHidden/>
          </w:rPr>
          <w:fldChar w:fldCharType="end"/>
        </w:r>
      </w:hyperlink>
    </w:p>
    <w:p w:rsidR="00F260FC" w:rsidRDefault="006D55EB">
      <w:pPr>
        <w:pStyle w:val="TM2"/>
        <w:tabs>
          <w:tab w:val="right" w:leader="dot" w:pos="9062"/>
        </w:tabs>
        <w:rPr>
          <w:rFonts w:eastAsiaTheme="minorEastAsia"/>
          <w:noProof/>
          <w:lang w:eastAsia="fr-FR"/>
        </w:rPr>
      </w:pPr>
      <w:hyperlink w:anchor="_Toc425414551" w:history="1">
        <w:r w:rsidR="00F260FC" w:rsidRPr="005E7E5B">
          <w:rPr>
            <w:rStyle w:val="Lienhypertexte"/>
            <w:rFonts w:cs="MyriadPro-Bold"/>
            <w:noProof/>
          </w:rPr>
          <w:t>Leçons tirées</w:t>
        </w:r>
        <w:r w:rsidR="00F260FC">
          <w:rPr>
            <w:noProof/>
            <w:webHidden/>
          </w:rPr>
          <w:tab/>
        </w:r>
        <w:r>
          <w:rPr>
            <w:noProof/>
            <w:webHidden/>
          </w:rPr>
          <w:fldChar w:fldCharType="begin"/>
        </w:r>
        <w:r w:rsidR="00F260FC">
          <w:rPr>
            <w:noProof/>
            <w:webHidden/>
          </w:rPr>
          <w:instrText xml:space="preserve"> PAGEREF _Toc425414551 \h </w:instrText>
        </w:r>
        <w:r>
          <w:rPr>
            <w:noProof/>
            <w:webHidden/>
          </w:rPr>
        </w:r>
        <w:r>
          <w:rPr>
            <w:noProof/>
            <w:webHidden/>
          </w:rPr>
          <w:fldChar w:fldCharType="separate"/>
        </w:r>
        <w:r w:rsidR="00F260FC">
          <w:rPr>
            <w:noProof/>
            <w:webHidden/>
          </w:rPr>
          <w:t>10</w:t>
        </w:r>
        <w:r>
          <w:rPr>
            <w:noProof/>
            <w:webHidden/>
          </w:rPr>
          <w:fldChar w:fldCharType="end"/>
        </w:r>
      </w:hyperlink>
    </w:p>
    <w:p w:rsidR="00F260FC" w:rsidRDefault="006D55EB">
      <w:pPr>
        <w:pStyle w:val="TM2"/>
        <w:tabs>
          <w:tab w:val="right" w:leader="dot" w:pos="9062"/>
        </w:tabs>
        <w:rPr>
          <w:rFonts w:eastAsiaTheme="minorEastAsia"/>
          <w:noProof/>
          <w:lang w:eastAsia="fr-FR"/>
        </w:rPr>
      </w:pPr>
      <w:hyperlink w:anchor="_Toc425414552" w:history="1">
        <w:r w:rsidR="00F260FC" w:rsidRPr="005E7E5B">
          <w:rPr>
            <w:rStyle w:val="Lienhypertexte"/>
            <w:rFonts w:cs="MyriadPro-Bold"/>
            <w:noProof/>
          </w:rPr>
          <w:t>Recommandations</w:t>
        </w:r>
        <w:r w:rsidR="00F260FC">
          <w:rPr>
            <w:noProof/>
            <w:webHidden/>
          </w:rPr>
          <w:tab/>
        </w:r>
        <w:r>
          <w:rPr>
            <w:noProof/>
            <w:webHidden/>
          </w:rPr>
          <w:fldChar w:fldCharType="begin"/>
        </w:r>
        <w:r w:rsidR="00F260FC">
          <w:rPr>
            <w:noProof/>
            <w:webHidden/>
          </w:rPr>
          <w:instrText xml:space="preserve"> PAGEREF _Toc425414552 \h </w:instrText>
        </w:r>
        <w:r>
          <w:rPr>
            <w:noProof/>
            <w:webHidden/>
          </w:rPr>
        </w:r>
        <w:r>
          <w:rPr>
            <w:noProof/>
            <w:webHidden/>
          </w:rPr>
          <w:fldChar w:fldCharType="separate"/>
        </w:r>
        <w:r w:rsidR="00F260FC">
          <w:rPr>
            <w:noProof/>
            <w:webHidden/>
          </w:rPr>
          <w:t>10</w:t>
        </w:r>
        <w:r>
          <w:rPr>
            <w:noProof/>
            <w:webHidden/>
          </w:rPr>
          <w:fldChar w:fldCharType="end"/>
        </w:r>
      </w:hyperlink>
    </w:p>
    <w:p w:rsidR="00F260FC" w:rsidRDefault="006D55EB">
      <w:pPr>
        <w:pStyle w:val="TM1"/>
        <w:rPr>
          <w:rFonts w:eastAsiaTheme="minorEastAsia" w:cstheme="minorBidi"/>
          <w:b w:val="0"/>
          <w:lang w:eastAsia="fr-FR"/>
        </w:rPr>
      </w:pPr>
      <w:hyperlink w:anchor="_Toc425414558" w:history="1">
        <w:r w:rsidR="00F260FC" w:rsidRPr="005E7E5B">
          <w:rPr>
            <w:rStyle w:val="Lienhypertexte"/>
          </w:rPr>
          <w:t>Acronymes et abréviations</w:t>
        </w:r>
        <w:r w:rsidR="00F260FC">
          <w:rPr>
            <w:webHidden/>
          </w:rPr>
          <w:tab/>
        </w:r>
        <w:r>
          <w:rPr>
            <w:webHidden/>
          </w:rPr>
          <w:fldChar w:fldCharType="begin"/>
        </w:r>
        <w:r w:rsidR="00F260FC">
          <w:rPr>
            <w:webHidden/>
          </w:rPr>
          <w:instrText xml:space="preserve"> PAGEREF _Toc425414558 \h </w:instrText>
        </w:r>
        <w:r>
          <w:rPr>
            <w:webHidden/>
          </w:rPr>
        </w:r>
        <w:r>
          <w:rPr>
            <w:webHidden/>
          </w:rPr>
          <w:fldChar w:fldCharType="separate"/>
        </w:r>
        <w:r w:rsidR="00F260FC">
          <w:rPr>
            <w:webHidden/>
          </w:rPr>
          <w:t>13</w:t>
        </w:r>
        <w:r>
          <w:rPr>
            <w:webHidden/>
          </w:rPr>
          <w:fldChar w:fldCharType="end"/>
        </w:r>
      </w:hyperlink>
    </w:p>
    <w:p w:rsidR="00F260FC" w:rsidRDefault="006D55EB">
      <w:pPr>
        <w:pStyle w:val="TM1"/>
        <w:tabs>
          <w:tab w:val="left" w:pos="440"/>
        </w:tabs>
        <w:rPr>
          <w:rFonts w:eastAsiaTheme="minorEastAsia" w:cstheme="minorBidi"/>
          <w:b w:val="0"/>
          <w:lang w:eastAsia="fr-FR"/>
        </w:rPr>
      </w:pPr>
      <w:hyperlink w:anchor="_Toc425414559" w:history="1">
        <w:r w:rsidR="00F260FC" w:rsidRPr="005E7E5B">
          <w:rPr>
            <w:rStyle w:val="Lienhypertexte"/>
            <w:bCs/>
          </w:rPr>
          <w:t>I.</w:t>
        </w:r>
        <w:r w:rsidR="00F260FC">
          <w:rPr>
            <w:rFonts w:eastAsiaTheme="minorEastAsia" w:cstheme="minorBidi"/>
            <w:b w:val="0"/>
            <w:lang w:eastAsia="fr-FR"/>
          </w:rPr>
          <w:tab/>
        </w:r>
        <w:r w:rsidR="00F260FC" w:rsidRPr="005E7E5B">
          <w:rPr>
            <w:rStyle w:val="Lienhypertexte"/>
            <w:bCs/>
          </w:rPr>
          <w:t>Introduction</w:t>
        </w:r>
        <w:r w:rsidR="00F260FC">
          <w:rPr>
            <w:webHidden/>
          </w:rPr>
          <w:tab/>
        </w:r>
        <w:r>
          <w:rPr>
            <w:webHidden/>
          </w:rPr>
          <w:fldChar w:fldCharType="begin"/>
        </w:r>
        <w:r w:rsidR="00F260FC">
          <w:rPr>
            <w:webHidden/>
          </w:rPr>
          <w:instrText xml:space="preserve"> PAGEREF _Toc425414559 \h </w:instrText>
        </w:r>
        <w:r>
          <w:rPr>
            <w:webHidden/>
          </w:rPr>
        </w:r>
        <w:r>
          <w:rPr>
            <w:webHidden/>
          </w:rPr>
          <w:fldChar w:fldCharType="separate"/>
        </w:r>
        <w:r w:rsidR="00F260FC">
          <w:rPr>
            <w:webHidden/>
          </w:rPr>
          <w:t>14</w:t>
        </w:r>
        <w:r>
          <w:rPr>
            <w:webHidden/>
          </w:rPr>
          <w:fldChar w:fldCharType="end"/>
        </w:r>
      </w:hyperlink>
    </w:p>
    <w:p w:rsidR="00F260FC" w:rsidRDefault="006D55EB">
      <w:pPr>
        <w:pStyle w:val="TM2"/>
        <w:tabs>
          <w:tab w:val="right" w:leader="dot" w:pos="9062"/>
        </w:tabs>
        <w:rPr>
          <w:rFonts w:eastAsiaTheme="minorEastAsia"/>
          <w:noProof/>
          <w:lang w:eastAsia="fr-FR"/>
        </w:rPr>
      </w:pPr>
      <w:hyperlink w:anchor="_Toc425414560" w:history="1">
        <w:r w:rsidR="00F260FC" w:rsidRPr="005E7E5B">
          <w:rPr>
            <w:rStyle w:val="Lienhypertexte"/>
            <w:rFonts w:cs="ACaslonPro-Regular"/>
            <w:noProof/>
          </w:rPr>
          <w:t>I.1 Objectif de l’évaluation</w:t>
        </w:r>
        <w:r w:rsidR="00F260FC">
          <w:rPr>
            <w:noProof/>
            <w:webHidden/>
          </w:rPr>
          <w:tab/>
        </w:r>
        <w:r>
          <w:rPr>
            <w:noProof/>
            <w:webHidden/>
          </w:rPr>
          <w:fldChar w:fldCharType="begin"/>
        </w:r>
        <w:r w:rsidR="00F260FC">
          <w:rPr>
            <w:noProof/>
            <w:webHidden/>
          </w:rPr>
          <w:instrText xml:space="preserve"> PAGEREF _Toc425414560 \h </w:instrText>
        </w:r>
        <w:r>
          <w:rPr>
            <w:noProof/>
            <w:webHidden/>
          </w:rPr>
        </w:r>
        <w:r>
          <w:rPr>
            <w:noProof/>
            <w:webHidden/>
          </w:rPr>
          <w:fldChar w:fldCharType="separate"/>
        </w:r>
        <w:r w:rsidR="00F260FC">
          <w:rPr>
            <w:noProof/>
            <w:webHidden/>
          </w:rPr>
          <w:t>14</w:t>
        </w:r>
        <w:r>
          <w:rPr>
            <w:noProof/>
            <w:webHidden/>
          </w:rPr>
          <w:fldChar w:fldCharType="end"/>
        </w:r>
      </w:hyperlink>
    </w:p>
    <w:p w:rsidR="00F260FC" w:rsidRDefault="006D55EB">
      <w:pPr>
        <w:pStyle w:val="TM2"/>
        <w:tabs>
          <w:tab w:val="right" w:leader="dot" w:pos="9062"/>
        </w:tabs>
        <w:rPr>
          <w:rFonts w:eastAsiaTheme="minorEastAsia"/>
          <w:noProof/>
          <w:lang w:eastAsia="fr-FR"/>
        </w:rPr>
      </w:pPr>
      <w:hyperlink w:anchor="_Toc425414561" w:history="1">
        <w:r w:rsidR="00F260FC" w:rsidRPr="005E7E5B">
          <w:rPr>
            <w:rStyle w:val="Lienhypertexte"/>
            <w:rFonts w:cs="ACaslonPro-Regular"/>
            <w:noProof/>
          </w:rPr>
          <w:t>I.2 Champ d’application et méthodologie</w:t>
        </w:r>
        <w:r w:rsidR="00F260FC">
          <w:rPr>
            <w:noProof/>
            <w:webHidden/>
          </w:rPr>
          <w:tab/>
        </w:r>
        <w:r>
          <w:rPr>
            <w:noProof/>
            <w:webHidden/>
          </w:rPr>
          <w:fldChar w:fldCharType="begin"/>
        </w:r>
        <w:r w:rsidR="00F260FC">
          <w:rPr>
            <w:noProof/>
            <w:webHidden/>
          </w:rPr>
          <w:instrText xml:space="preserve"> PAGEREF _Toc425414561 \h </w:instrText>
        </w:r>
        <w:r>
          <w:rPr>
            <w:noProof/>
            <w:webHidden/>
          </w:rPr>
        </w:r>
        <w:r>
          <w:rPr>
            <w:noProof/>
            <w:webHidden/>
          </w:rPr>
          <w:fldChar w:fldCharType="separate"/>
        </w:r>
        <w:r w:rsidR="00F260FC">
          <w:rPr>
            <w:noProof/>
            <w:webHidden/>
          </w:rPr>
          <w:t>14</w:t>
        </w:r>
        <w:r>
          <w:rPr>
            <w:noProof/>
            <w:webHidden/>
          </w:rPr>
          <w:fldChar w:fldCharType="end"/>
        </w:r>
      </w:hyperlink>
    </w:p>
    <w:p w:rsidR="00F260FC" w:rsidRDefault="006D55EB">
      <w:pPr>
        <w:pStyle w:val="TM3"/>
        <w:tabs>
          <w:tab w:val="right" w:leader="dot" w:pos="9062"/>
        </w:tabs>
        <w:rPr>
          <w:rFonts w:eastAsiaTheme="minorEastAsia"/>
          <w:noProof/>
          <w:lang w:eastAsia="fr-FR"/>
        </w:rPr>
      </w:pPr>
      <w:hyperlink w:anchor="_Toc425414562" w:history="1">
        <w:r w:rsidR="00F260FC" w:rsidRPr="005E7E5B">
          <w:rPr>
            <w:rStyle w:val="Lienhypertexte"/>
            <w:rFonts w:ascii="Calibri" w:hAnsi="Calibri" w:cs="Calibri"/>
            <w:noProof/>
          </w:rPr>
          <w:t>I.2.1 Champs d’application</w:t>
        </w:r>
        <w:r w:rsidR="00F260FC">
          <w:rPr>
            <w:noProof/>
            <w:webHidden/>
          </w:rPr>
          <w:tab/>
        </w:r>
        <w:r>
          <w:rPr>
            <w:noProof/>
            <w:webHidden/>
          </w:rPr>
          <w:fldChar w:fldCharType="begin"/>
        </w:r>
        <w:r w:rsidR="00F260FC">
          <w:rPr>
            <w:noProof/>
            <w:webHidden/>
          </w:rPr>
          <w:instrText xml:space="preserve"> PAGEREF _Toc425414562 \h </w:instrText>
        </w:r>
        <w:r>
          <w:rPr>
            <w:noProof/>
            <w:webHidden/>
          </w:rPr>
        </w:r>
        <w:r>
          <w:rPr>
            <w:noProof/>
            <w:webHidden/>
          </w:rPr>
          <w:fldChar w:fldCharType="separate"/>
        </w:r>
        <w:r w:rsidR="00F260FC">
          <w:rPr>
            <w:noProof/>
            <w:webHidden/>
          </w:rPr>
          <w:t>14</w:t>
        </w:r>
        <w:r>
          <w:rPr>
            <w:noProof/>
            <w:webHidden/>
          </w:rPr>
          <w:fldChar w:fldCharType="end"/>
        </w:r>
      </w:hyperlink>
    </w:p>
    <w:p w:rsidR="00F260FC" w:rsidRDefault="006D55EB">
      <w:pPr>
        <w:pStyle w:val="TM3"/>
        <w:tabs>
          <w:tab w:val="right" w:leader="dot" w:pos="9062"/>
        </w:tabs>
        <w:rPr>
          <w:rFonts w:eastAsiaTheme="minorEastAsia"/>
          <w:noProof/>
          <w:lang w:eastAsia="fr-FR"/>
        </w:rPr>
      </w:pPr>
      <w:hyperlink w:anchor="_Toc425414563" w:history="1">
        <w:r w:rsidR="00F260FC" w:rsidRPr="005E7E5B">
          <w:rPr>
            <w:rStyle w:val="Lienhypertexte"/>
            <w:rFonts w:cs="ACaslonPro-Regular"/>
            <w:noProof/>
          </w:rPr>
          <w:t>I.2.3 Structure du rapport d’évaluation</w:t>
        </w:r>
        <w:r w:rsidR="00F260FC">
          <w:rPr>
            <w:noProof/>
            <w:webHidden/>
          </w:rPr>
          <w:tab/>
        </w:r>
        <w:r>
          <w:rPr>
            <w:noProof/>
            <w:webHidden/>
          </w:rPr>
          <w:fldChar w:fldCharType="begin"/>
        </w:r>
        <w:r w:rsidR="00F260FC">
          <w:rPr>
            <w:noProof/>
            <w:webHidden/>
          </w:rPr>
          <w:instrText xml:space="preserve"> PAGEREF _Toc425414563 \h </w:instrText>
        </w:r>
        <w:r>
          <w:rPr>
            <w:noProof/>
            <w:webHidden/>
          </w:rPr>
        </w:r>
        <w:r>
          <w:rPr>
            <w:noProof/>
            <w:webHidden/>
          </w:rPr>
          <w:fldChar w:fldCharType="separate"/>
        </w:r>
        <w:r w:rsidR="00F260FC">
          <w:rPr>
            <w:noProof/>
            <w:webHidden/>
          </w:rPr>
          <w:t>17</w:t>
        </w:r>
        <w:r>
          <w:rPr>
            <w:noProof/>
            <w:webHidden/>
          </w:rPr>
          <w:fldChar w:fldCharType="end"/>
        </w:r>
      </w:hyperlink>
    </w:p>
    <w:p w:rsidR="00F260FC" w:rsidRDefault="006D55EB">
      <w:pPr>
        <w:pStyle w:val="TM1"/>
        <w:tabs>
          <w:tab w:val="left" w:pos="440"/>
        </w:tabs>
        <w:rPr>
          <w:rFonts w:eastAsiaTheme="minorEastAsia" w:cstheme="minorBidi"/>
          <w:b w:val="0"/>
          <w:lang w:eastAsia="fr-FR"/>
        </w:rPr>
      </w:pPr>
      <w:hyperlink w:anchor="_Toc425414564" w:history="1">
        <w:r w:rsidR="00F260FC" w:rsidRPr="005E7E5B">
          <w:rPr>
            <w:rStyle w:val="Lienhypertexte"/>
            <w:bCs/>
          </w:rPr>
          <w:t>II.</w:t>
        </w:r>
        <w:r w:rsidR="00F260FC">
          <w:rPr>
            <w:rFonts w:eastAsiaTheme="minorEastAsia" w:cstheme="minorBidi"/>
            <w:b w:val="0"/>
            <w:lang w:eastAsia="fr-FR"/>
          </w:rPr>
          <w:tab/>
        </w:r>
        <w:r w:rsidR="00F260FC" w:rsidRPr="005E7E5B">
          <w:rPr>
            <w:rStyle w:val="Lienhypertexte"/>
            <w:bCs/>
          </w:rPr>
          <w:t>Description et contexte de développement du projet</w:t>
        </w:r>
        <w:r w:rsidR="00F260FC">
          <w:rPr>
            <w:webHidden/>
          </w:rPr>
          <w:tab/>
        </w:r>
        <w:r>
          <w:rPr>
            <w:webHidden/>
          </w:rPr>
          <w:fldChar w:fldCharType="begin"/>
        </w:r>
        <w:r w:rsidR="00F260FC">
          <w:rPr>
            <w:webHidden/>
          </w:rPr>
          <w:instrText xml:space="preserve"> PAGEREF _Toc425414564 \h </w:instrText>
        </w:r>
        <w:r>
          <w:rPr>
            <w:webHidden/>
          </w:rPr>
        </w:r>
        <w:r>
          <w:rPr>
            <w:webHidden/>
          </w:rPr>
          <w:fldChar w:fldCharType="separate"/>
        </w:r>
        <w:r w:rsidR="00F260FC">
          <w:rPr>
            <w:webHidden/>
          </w:rPr>
          <w:t>18</w:t>
        </w:r>
        <w:r>
          <w:rPr>
            <w:webHidden/>
          </w:rPr>
          <w:fldChar w:fldCharType="end"/>
        </w:r>
      </w:hyperlink>
    </w:p>
    <w:p w:rsidR="00F260FC" w:rsidRDefault="006D55EB">
      <w:pPr>
        <w:pStyle w:val="TM2"/>
        <w:tabs>
          <w:tab w:val="right" w:leader="dot" w:pos="9062"/>
        </w:tabs>
        <w:rPr>
          <w:rFonts w:eastAsiaTheme="minorEastAsia"/>
          <w:noProof/>
          <w:lang w:eastAsia="fr-FR"/>
        </w:rPr>
      </w:pPr>
      <w:hyperlink w:anchor="_Toc425414565" w:history="1">
        <w:r w:rsidR="00F260FC" w:rsidRPr="005E7E5B">
          <w:rPr>
            <w:rStyle w:val="Lienhypertexte"/>
            <w:rFonts w:cs="ACaslonPro-Regular"/>
            <w:noProof/>
          </w:rPr>
          <w:t>II.1 Démarrage et durée du projet</w:t>
        </w:r>
        <w:r w:rsidR="00F260FC">
          <w:rPr>
            <w:noProof/>
            <w:webHidden/>
          </w:rPr>
          <w:tab/>
        </w:r>
        <w:r>
          <w:rPr>
            <w:noProof/>
            <w:webHidden/>
          </w:rPr>
          <w:fldChar w:fldCharType="begin"/>
        </w:r>
        <w:r w:rsidR="00F260FC">
          <w:rPr>
            <w:noProof/>
            <w:webHidden/>
          </w:rPr>
          <w:instrText xml:space="preserve"> PAGEREF _Toc425414565 \h </w:instrText>
        </w:r>
        <w:r>
          <w:rPr>
            <w:noProof/>
            <w:webHidden/>
          </w:rPr>
        </w:r>
        <w:r>
          <w:rPr>
            <w:noProof/>
            <w:webHidden/>
          </w:rPr>
          <w:fldChar w:fldCharType="separate"/>
        </w:r>
        <w:r w:rsidR="00F260FC">
          <w:rPr>
            <w:noProof/>
            <w:webHidden/>
          </w:rPr>
          <w:t>18</w:t>
        </w:r>
        <w:r>
          <w:rPr>
            <w:noProof/>
            <w:webHidden/>
          </w:rPr>
          <w:fldChar w:fldCharType="end"/>
        </w:r>
      </w:hyperlink>
    </w:p>
    <w:p w:rsidR="00F260FC" w:rsidRDefault="006D55EB">
      <w:pPr>
        <w:pStyle w:val="TM2"/>
        <w:tabs>
          <w:tab w:val="right" w:leader="dot" w:pos="9062"/>
        </w:tabs>
        <w:rPr>
          <w:rFonts w:eastAsiaTheme="minorEastAsia"/>
          <w:noProof/>
          <w:lang w:eastAsia="fr-FR"/>
        </w:rPr>
      </w:pPr>
      <w:hyperlink w:anchor="_Toc425414566" w:history="1">
        <w:r w:rsidR="00F260FC" w:rsidRPr="005E7E5B">
          <w:rPr>
            <w:rStyle w:val="Lienhypertexte"/>
            <w:rFonts w:cs="Calibri"/>
            <w:noProof/>
          </w:rPr>
          <w:t xml:space="preserve">II.2 </w:t>
        </w:r>
        <w:r w:rsidR="00F260FC" w:rsidRPr="005E7E5B">
          <w:rPr>
            <w:rStyle w:val="Lienhypertexte"/>
            <w:rFonts w:cs="ACaslonPro-Regular"/>
            <w:noProof/>
          </w:rPr>
          <w:t>Problèmes que le projet visait à régler</w:t>
        </w:r>
        <w:r w:rsidR="00F260FC">
          <w:rPr>
            <w:noProof/>
            <w:webHidden/>
          </w:rPr>
          <w:tab/>
        </w:r>
        <w:r>
          <w:rPr>
            <w:noProof/>
            <w:webHidden/>
          </w:rPr>
          <w:fldChar w:fldCharType="begin"/>
        </w:r>
        <w:r w:rsidR="00F260FC">
          <w:rPr>
            <w:noProof/>
            <w:webHidden/>
          </w:rPr>
          <w:instrText xml:space="preserve"> PAGEREF _Toc425414566 \h </w:instrText>
        </w:r>
        <w:r>
          <w:rPr>
            <w:noProof/>
            <w:webHidden/>
          </w:rPr>
        </w:r>
        <w:r>
          <w:rPr>
            <w:noProof/>
            <w:webHidden/>
          </w:rPr>
          <w:fldChar w:fldCharType="separate"/>
        </w:r>
        <w:r w:rsidR="00F260FC">
          <w:rPr>
            <w:noProof/>
            <w:webHidden/>
          </w:rPr>
          <w:t>18</w:t>
        </w:r>
        <w:r>
          <w:rPr>
            <w:noProof/>
            <w:webHidden/>
          </w:rPr>
          <w:fldChar w:fldCharType="end"/>
        </w:r>
      </w:hyperlink>
    </w:p>
    <w:p w:rsidR="00F260FC" w:rsidRDefault="006D55EB">
      <w:pPr>
        <w:pStyle w:val="TM2"/>
        <w:tabs>
          <w:tab w:val="right" w:leader="dot" w:pos="9062"/>
        </w:tabs>
        <w:rPr>
          <w:rFonts w:eastAsiaTheme="minorEastAsia"/>
          <w:noProof/>
          <w:lang w:eastAsia="fr-FR"/>
        </w:rPr>
      </w:pPr>
      <w:hyperlink w:anchor="_Toc425414567" w:history="1">
        <w:r w:rsidR="00F260FC" w:rsidRPr="005E7E5B">
          <w:rPr>
            <w:rStyle w:val="Lienhypertexte"/>
            <w:rFonts w:cs="ACaslonPro-Regular"/>
            <w:noProof/>
          </w:rPr>
          <w:t>II.3 Objectifs immédiats et de développement du projet</w:t>
        </w:r>
        <w:r w:rsidR="00F260FC">
          <w:rPr>
            <w:noProof/>
            <w:webHidden/>
          </w:rPr>
          <w:tab/>
        </w:r>
        <w:r>
          <w:rPr>
            <w:noProof/>
            <w:webHidden/>
          </w:rPr>
          <w:fldChar w:fldCharType="begin"/>
        </w:r>
        <w:r w:rsidR="00F260FC">
          <w:rPr>
            <w:noProof/>
            <w:webHidden/>
          </w:rPr>
          <w:instrText xml:space="preserve"> PAGEREF _Toc425414567 \h </w:instrText>
        </w:r>
        <w:r>
          <w:rPr>
            <w:noProof/>
            <w:webHidden/>
          </w:rPr>
        </w:r>
        <w:r>
          <w:rPr>
            <w:noProof/>
            <w:webHidden/>
          </w:rPr>
          <w:fldChar w:fldCharType="separate"/>
        </w:r>
        <w:r w:rsidR="00F260FC">
          <w:rPr>
            <w:noProof/>
            <w:webHidden/>
          </w:rPr>
          <w:t>18</w:t>
        </w:r>
        <w:r>
          <w:rPr>
            <w:noProof/>
            <w:webHidden/>
          </w:rPr>
          <w:fldChar w:fldCharType="end"/>
        </w:r>
      </w:hyperlink>
    </w:p>
    <w:p w:rsidR="00F260FC" w:rsidRDefault="006D55EB">
      <w:pPr>
        <w:pStyle w:val="TM2"/>
        <w:tabs>
          <w:tab w:val="right" w:leader="dot" w:pos="9062"/>
        </w:tabs>
        <w:rPr>
          <w:rFonts w:eastAsiaTheme="minorEastAsia"/>
          <w:noProof/>
          <w:lang w:eastAsia="fr-FR"/>
        </w:rPr>
      </w:pPr>
      <w:hyperlink w:anchor="_Toc425414568" w:history="1">
        <w:r w:rsidR="00F260FC" w:rsidRPr="005E7E5B">
          <w:rPr>
            <w:rStyle w:val="Lienhypertexte"/>
            <w:rFonts w:cs="ACaslonPro-Regular"/>
            <w:noProof/>
          </w:rPr>
          <w:t>II.4 Indicateurs de base mis en place</w:t>
        </w:r>
        <w:r w:rsidR="00F260FC">
          <w:rPr>
            <w:noProof/>
            <w:webHidden/>
          </w:rPr>
          <w:tab/>
        </w:r>
        <w:r>
          <w:rPr>
            <w:noProof/>
            <w:webHidden/>
          </w:rPr>
          <w:fldChar w:fldCharType="begin"/>
        </w:r>
        <w:r w:rsidR="00F260FC">
          <w:rPr>
            <w:noProof/>
            <w:webHidden/>
          </w:rPr>
          <w:instrText xml:space="preserve"> PAGEREF _Toc425414568 \h </w:instrText>
        </w:r>
        <w:r>
          <w:rPr>
            <w:noProof/>
            <w:webHidden/>
          </w:rPr>
        </w:r>
        <w:r>
          <w:rPr>
            <w:noProof/>
            <w:webHidden/>
          </w:rPr>
          <w:fldChar w:fldCharType="separate"/>
        </w:r>
        <w:r w:rsidR="00F260FC">
          <w:rPr>
            <w:noProof/>
            <w:webHidden/>
          </w:rPr>
          <w:t>19</w:t>
        </w:r>
        <w:r>
          <w:rPr>
            <w:noProof/>
            <w:webHidden/>
          </w:rPr>
          <w:fldChar w:fldCharType="end"/>
        </w:r>
      </w:hyperlink>
    </w:p>
    <w:p w:rsidR="00F260FC" w:rsidRDefault="006D55EB">
      <w:pPr>
        <w:pStyle w:val="TM2"/>
        <w:tabs>
          <w:tab w:val="right" w:leader="dot" w:pos="9062"/>
        </w:tabs>
        <w:rPr>
          <w:rFonts w:eastAsiaTheme="minorEastAsia"/>
          <w:noProof/>
          <w:lang w:eastAsia="fr-FR"/>
        </w:rPr>
      </w:pPr>
      <w:hyperlink w:anchor="_Toc425414569" w:history="1">
        <w:r w:rsidR="00F260FC" w:rsidRPr="005E7E5B">
          <w:rPr>
            <w:rStyle w:val="Lienhypertexte"/>
            <w:rFonts w:cs="Calibri"/>
            <w:noProof/>
          </w:rPr>
          <w:t xml:space="preserve">II.5 </w:t>
        </w:r>
        <w:r w:rsidR="00F260FC" w:rsidRPr="005E7E5B">
          <w:rPr>
            <w:rStyle w:val="Lienhypertexte"/>
            <w:rFonts w:cs="ACaslonPro-Regular"/>
            <w:noProof/>
          </w:rPr>
          <w:t>Principales parties prenantes</w:t>
        </w:r>
        <w:r w:rsidR="00F260FC">
          <w:rPr>
            <w:noProof/>
            <w:webHidden/>
          </w:rPr>
          <w:tab/>
        </w:r>
        <w:r>
          <w:rPr>
            <w:noProof/>
            <w:webHidden/>
          </w:rPr>
          <w:fldChar w:fldCharType="begin"/>
        </w:r>
        <w:r w:rsidR="00F260FC">
          <w:rPr>
            <w:noProof/>
            <w:webHidden/>
          </w:rPr>
          <w:instrText xml:space="preserve"> PAGEREF _Toc425414569 \h </w:instrText>
        </w:r>
        <w:r>
          <w:rPr>
            <w:noProof/>
            <w:webHidden/>
          </w:rPr>
        </w:r>
        <w:r>
          <w:rPr>
            <w:noProof/>
            <w:webHidden/>
          </w:rPr>
          <w:fldChar w:fldCharType="separate"/>
        </w:r>
        <w:r w:rsidR="00F260FC">
          <w:rPr>
            <w:noProof/>
            <w:webHidden/>
          </w:rPr>
          <w:t>19</w:t>
        </w:r>
        <w:r>
          <w:rPr>
            <w:noProof/>
            <w:webHidden/>
          </w:rPr>
          <w:fldChar w:fldCharType="end"/>
        </w:r>
      </w:hyperlink>
    </w:p>
    <w:p w:rsidR="00F260FC" w:rsidRDefault="006D55EB">
      <w:pPr>
        <w:pStyle w:val="TM2"/>
        <w:tabs>
          <w:tab w:val="right" w:leader="dot" w:pos="9062"/>
        </w:tabs>
        <w:rPr>
          <w:rFonts w:eastAsiaTheme="minorEastAsia"/>
          <w:noProof/>
          <w:lang w:eastAsia="fr-FR"/>
        </w:rPr>
      </w:pPr>
      <w:hyperlink w:anchor="_Toc425414570" w:history="1">
        <w:r w:rsidR="00F260FC" w:rsidRPr="005E7E5B">
          <w:rPr>
            <w:rStyle w:val="Lienhypertexte"/>
            <w:rFonts w:cs="Calibri"/>
            <w:noProof/>
          </w:rPr>
          <w:t xml:space="preserve">II.6 </w:t>
        </w:r>
        <w:r w:rsidR="00F260FC" w:rsidRPr="005E7E5B">
          <w:rPr>
            <w:rStyle w:val="Lienhypertexte"/>
            <w:rFonts w:cs="ACaslonPro-Regular"/>
            <w:noProof/>
          </w:rPr>
          <w:t>Résultats et produits escomptés</w:t>
        </w:r>
        <w:r w:rsidR="00F260FC">
          <w:rPr>
            <w:noProof/>
            <w:webHidden/>
          </w:rPr>
          <w:tab/>
        </w:r>
        <w:r>
          <w:rPr>
            <w:noProof/>
            <w:webHidden/>
          </w:rPr>
          <w:fldChar w:fldCharType="begin"/>
        </w:r>
        <w:r w:rsidR="00F260FC">
          <w:rPr>
            <w:noProof/>
            <w:webHidden/>
          </w:rPr>
          <w:instrText xml:space="preserve"> PAGEREF _Toc425414570 \h </w:instrText>
        </w:r>
        <w:r>
          <w:rPr>
            <w:noProof/>
            <w:webHidden/>
          </w:rPr>
        </w:r>
        <w:r>
          <w:rPr>
            <w:noProof/>
            <w:webHidden/>
          </w:rPr>
          <w:fldChar w:fldCharType="separate"/>
        </w:r>
        <w:r w:rsidR="00F260FC">
          <w:rPr>
            <w:noProof/>
            <w:webHidden/>
          </w:rPr>
          <w:t>20</w:t>
        </w:r>
        <w:r>
          <w:rPr>
            <w:noProof/>
            <w:webHidden/>
          </w:rPr>
          <w:fldChar w:fldCharType="end"/>
        </w:r>
      </w:hyperlink>
    </w:p>
    <w:p w:rsidR="00F260FC" w:rsidRDefault="006D55EB">
      <w:pPr>
        <w:pStyle w:val="TM1"/>
        <w:rPr>
          <w:rFonts w:eastAsiaTheme="minorEastAsia" w:cstheme="minorBidi"/>
          <w:b w:val="0"/>
          <w:lang w:eastAsia="fr-FR"/>
        </w:rPr>
      </w:pPr>
      <w:hyperlink w:anchor="_Toc425414571" w:history="1">
        <w:r w:rsidR="00F260FC" w:rsidRPr="005E7E5B">
          <w:rPr>
            <w:rStyle w:val="Lienhypertexte"/>
            <w:rFonts w:cs="ACaslonPro-Regular"/>
          </w:rPr>
          <w:t xml:space="preserve">III. </w:t>
        </w:r>
        <w:r w:rsidR="00F260FC" w:rsidRPr="005E7E5B">
          <w:rPr>
            <w:rStyle w:val="Lienhypertexte"/>
          </w:rPr>
          <w:t>Conclusions</w:t>
        </w:r>
        <w:r w:rsidR="00F260FC">
          <w:rPr>
            <w:webHidden/>
          </w:rPr>
          <w:tab/>
        </w:r>
        <w:r>
          <w:rPr>
            <w:webHidden/>
          </w:rPr>
          <w:fldChar w:fldCharType="begin"/>
        </w:r>
        <w:r w:rsidR="00F260FC">
          <w:rPr>
            <w:webHidden/>
          </w:rPr>
          <w:instrText xml:space="preserve"> PAGEREF _Toc425414571 \h </w:instrText>
        </w:r>
        <w:r>
          <w:rPr>
            <w:webHidden/>
          </w:rPr>
        </w:r>
        <w:r>
          <w:rPr>
            <w:webHidden/>
          </w:rPr>
          <w:fldChar w:fldCharType="separate"/>
        </w:r>
        <w:r w:rsidR="00F260FC">
          <w:rPr>
            <w:webHidden/>
          </w:rPr>
          <w:t>22</w:t>
        </w:r>
        <w:r>
          <w:rPr>
            <w:webHidden/>
          </w:rPr>
          <w:fldChar w:fldCharType="end"/>
        </w:r>
      </w:hyperlink>
    </w:p>
    <w:p w:rsidR="00F260FC" w:rsidRDefault="006D55EB">
      <w:pPr>
        <w:pStyle w:val="TM2"/>
        <w:tabs>
          <w:tab w:val="right" w:leader="dot" w:pos="9062"/>
        </w:tabs>
        <w:rPr>
          <w:rFonts w:eastAsiaTheme="minorEastAsia"/>
          <w:noProof/>
          <w:lang w:eastAsia="fr-FR"/>
        </w:rPr>
      </w:pPr>
      <w:hyperlink w:anchor="_Toc425414572" w:history="1">
        <w:r w:rsidR="00F260FC" w:rsidRPr="005E7E5B">
          <w:rPr>
            <w:rStyle w:val="Lienhypertexte"/>
            <w:noProof/>
          </w:rPr>
          <w:t>III.1 Conception/Formulation du projet</w:t>
        </w:r>
        <w:r w:rsidR="00F260FC">
          <w:rPr>
            <w:noProof/>
            <w:webHidden/>
          </w:rPr>
          <w:tab/>
        </w:r>
        <w:r>
          <w:rPr>
            <w:noProof/>
            <w:webHidden/>
          </w:rPr>
          <w:fldChar w:fldCharType="begin"/>
        </w:r>
        <w:r w:rsidR="00F260FC">
          <w:rPr>
            <w:noProof/>
            <w:webHidden/>
          </w:rPr>
          <w:instrText xml:space="preserve"> PAGEREF _Toc425414572 \h </w:instrText>
        </w:r>
        <w:r>
          <w:rPr>
            <w:noProof/>
            <w:webHidden/>
          </w:rPr>
        </w:r>
        <w:r>
          <w:rPr>
            <w:noProof/>
            <w:webHidden/>
          </w:rPr>
          <w:fldChar w:fldCharType="separate"/>
        </w:r>
        <w:r w:rsidR="00F260FC">
          <w:rPr>
            <w:noProof/>
            <w:webHidden/>
          </w:rPr>
          <w:t>22</w:t>
        </w:r>
        <w:r>
          <w:rPr>
            <w:noProof/>
            <w:webHidden/>
          </w:rPr>
          <w:fldChar w:fldCharType="end"/>
        </w:r>
      </w:hyperlink>
    </w:p>
    <w:p w:rsidR="00F260FC" w:rsidRDefault="006D55EB">
      <w:pPr>
        <w:pStyle w:val="TM3"/>
        <w:tabs>
          <w:tab w:val="right" w:leader="dot" w:pos="9062"/>
        </w:tabs>
        <w:rPr>
          <w:rFonts w:eastAsiaTheme="minorEastAsia"/>
          <w:noProof/>
          <w:lang w:eastAsia="fr-FR"/>
        </w:rPr>
      </w:pPr>
      <w:hyperlink w:anchor="_Toc425414573" w:history="1">
        <w:r w:rsidR="00F260FC" w:rsidRPr="005E7E5B">
          <w:rPr>
            <w:rStyle w:val="Lienhypertexte"/>
            <w:rFonts w:cs="MyriadPro-Bold"/>
            <w:noProof/>
          </w:rPr>
          <w:t>III.1.1 Analyse du cadre logique</w:t>
        </w:r>
        <w:r w:rsidR="00F260FC">
          <w:rPr>
            <w:noProof/>
            <w:webHidden/>
          </w:rPr>
          <w:tab/>
        </w:r>
        <w:r>
          <w:rPr>
            <w:noProof/>
            <w:webHidden/>
          </w:rPr>
          <w:fldChar w:fldCharType="begin"/>
        </w:r>
        <w:r w:rsidR="00F260FC">
          <w:rPr>
            <w:noProof/>
            <w:webHidden/>
          </w:rPr>
          <w:instrText xml:space="preserve"> PAGEREF _Toc425414573 \h </w:instrText>
        </w:r>
        <w:r>
          <w:rPr>
            <w:noProof/>
            <w:webHidden/>
          </w:rPr>
        </w:r>
        <w:r>
          <w:rPr>
            <w:noProof/>
            <w:webHidden/>
          </w:rPr>
          <w:fldChar w:fldCharType="separate"/>
        </w:r>
        <w:r w:rsidR="00F260FC">
          <w:rPr>
            <w:noProof/>
            <w:webHidden/>
          </w:rPr>
          <w:t>22</w:t>
        </w:r>
        <w:r>
          <w:rPr>
            <w:noProof/>
            <w:webHidden/>
          </w:rPr>
          <w:fldChar w:fldCharType="end"/>
        </w:r>
      </w:hyperlink>
    </w:p>
    <w:p w:rsidR="00F260FC" w:rsidRDefault="006D55EB">
      <w:pPr>
        <w:pStyle w:val="TM3"/>
        <w:tabs>
          <w:tab w:val="right" w:leader="dot" w:pos="9062"/>
        </w:tabs>
        <w:rPr>
          <w:rFonts w:eastAsiaTheme="minorEastAsia"/>
          <w:noProof/>
          <w:lang w:eastAsia="fr-FR"/>
        </w:rPr>
      </w:pPr>
      <w:hyperlink w:anchor="_Toc425414574" w:history="1">
        <w:r w:rsidR="00F260FC" w:rsidRPr="005E7E5B">
          <w:rPr>
            <w:rStyle w:val="Lienhypertexte"/>
            <w:rFonts w:cs="MyriadPro-Bold"/>
            <w:noProof/>
          </w:rPr>
          <w:t>III.1.2 Hypothèses et risques</w:t>
        </w:r>
        <w:r w:rsidR="00F260FC">
          <w:rPr>
            <w:noProof/>
            <w:webHidden/>
          </w:rPr>
          <w:tab/>
        </w:r>
        <w:r>
          <w:rPr>
            <w:noProof/>
            <w:webHidden/>
          </w:rPr>
          <w:fldChar w:fldCharType="begin"/>
        </w:r>
        <w:r w:rsidR="00F260FC">
          <w:rPr>
            <w:noProof/>
            <w:webHidden/>
          </w:rPr>
          <w:instrText xml:space="preserve"> PAGEREF _Toc425414574 \h </w:instrText>
        </w:r>
        <w:r>
          <w:rPr>
            <w:noProof/>
            <w:webHidden/>
          </w:rPr>
        </w:r>
        <w:r>
          <w:rPr>
            <w:noProof/>
            <w:webHidden/>
          </w:rPr>
          <w:fldChar w:fldCharType="separate"/>
        </w:r>
        <w:r w:rsidR="00F260FC">
          <w:rPr>
            <w:noProof/>
            <w:webHidden/>
          </w:rPr>
          <w:t>26</w:t>
        </w:r>
        <w:r>
          <w:rPr>
            <w:noProof/>
            <w:webHidden/>
          </w:rPr>
          <w:fldChar w:fldCharType="end"/>
        </w:r>
      </w:hyperlink>
    </w:p>
    <w:p w:rsidR="00F260FC" w:rsidRDefault="006D55EB">
      <w:pPr>
        <w:pStyle w:val="TM3"/>
        <w:tabs>
          <w:tab w:val="right" w:leader="dot" w:pos="9062"/>
        </w:tabs>
        <w:rPr>
          <w:rFonts w:eastAsiaTheme="minorEastAsia"/>
          <w:noProof/>
          <w:lang w:eastAsia="fr-FR"/>
        </w:rPr>
      </w:pPr>
      <w:hyperlink w:anchor="_Toc425414575" w:history="1">
        <w:r w:rsidR="00F260FC" w:rsidRPr="005E7E5B">
          <w:rPr>
            <w:rStyle w:val="Lienhypertexte"/>
            <w:rFonts w:cs="Calibri"/>
            <w:noProof/>
          </w:rPr>
          <w:t xml:space="preserve">III.1.3 </w:t>
        </w:r>
        <w:r w:rsidR="00F260FC" w:rsidRPr="005E7E5B">
          <w:rPr>
            <w:rStyle w:val="Lienhypertexte"/>
            <w:rFonts w:cs="ACaslonPro-Regular"/>
            <w:noProof/>
          </w:rPr>
          <w:t>Enseignements tirés des autres projets pertinents dans la conception du projet</w:t>
        </w:r>
        <w:r w:rsidR="00F260FC">
          <w:rPr>
            <w:noProof/>
            <w:webHidden/>
          </w:rPr>
          <w:tab/>
        </w:r>
        <w:r>
          <w:rPr>
            <w:noProof/>
            <w:webHidden/>
          </w:rPr>
          <w:fldChar w:fldCharType="begin"/>
        </w:r>
        <w:r w:rsidR="00F260FC">
          <w:rPr>
            <w:noProof/>
            <w:webHidden/>
          </w:rPr>
          <w:instrText xml:space="preserve"> PAGEREF _Toc425414575 \h </w:instrText>
        </w:r>
        <w:r>
          <w:rPr>
            <w:noProof/>
            <w:webHidden/>
          </w:rPr>
        </w:r>
        <w:r>
          <w:rPr>
            <w:noProof/>
            <w:webHidden/>
          </w:rPr>
          <w:fldChar w:fldCharType="separate"/>
        </w:r>
        <w:r w:rsidR="00F260FC">
          <w:rPr>
            <w:noProof/>
            <w:webHidden/>
          </w:rPr>
          <w:t>26</w:t>
        </w:r>
        <w:r>
          <w:rPr>
            <w:noProof/>
            <w:webHidden/>
          </w:rPr>
          <w:fldChar w:fldCharType="end"/>
        </w:r>
      </w:hyperlink>
    </w:p>
    <w:p w:rsidR="00F260FC" w:rsidRDefault="006D55EB">
      <w:pPr>
        <w:pStyle w:val="TM3"/>
        <w:tabs>
          <w:tab w:val="right" w:leader="dot" w:pos="9062"/>
        </w:tabs>
        <w:rPr>
          <w:rFonts w:eastAsiaTheme="minorEastAsia"/>
          <w:noProof/>
          <w:lang w:eastAsia="fr-FR"/>
        </w:rPr>
      </w:pPr>
      <w:hyperlink w:anchor="_Toc425414576" w:history="1">
        <w:r w:rsidR="00F260FC" w:rsidRPr="005E7E5B">
          <w:rPr>
            <w:rStyle w:val="Lienhypertexte"/>
            <w:rFonts w:cs="Calibri"/>
            <w:noProof/>
          </w:rPr>
          <w:t>III.1.4 Participation prévue des parties prenantes</w:t>
        </w:r>
        <w:r w:rsidR="00F260FC">
          <w:rPr>
            <w:noProof/>
            <w:webHidden/>
          </w:rPr>
          <w:tab/>
        </w:r>
        <w:r>
          <w:rPr>
            <w:noProof/>
            <w:webHidden/>
          </w:rPr>
          <w:fldChar w:fldCharType="begin"/>
        </w:r>
        <w:r w:rsidR="00F260FC">
          <w:rPr>
            <w:noProof/>
            <w:webHidden/>
          </w:rPr>
          <w:instrText xml:space="preserve"> PAGEREF _Toc425414576 \h </w:instrText>
        </w:r>
        <w:r>
          <w:rPr>
            <w:noProof/>
            <w:webHidden/>
          </w:rPr>
        </w:r>
        <w:r>
          <w:rPr>
            <w:noProof/>
            <w:webHidden/>
          </w:rPr>
          <w:fldChar w:fldCharType="separate"/>
        </w:r>
        <w:r w:rsidR="00F260FC">
          <w:rPr>
            <w:noProof/>
            <w:webHidden/>
          </w:rPr>
          <w:t>27</w:t>
        </w:r>
        <w:r>
          <w:rPr>
            <w:noProof/>
            <w:webHidden/>
          </w:rPr>
          <w:fldChar w:fldCharType="end"/>
        </w:r>
      </w:hyperlink>
    </w:p>
    <w:p w:rsidR="00F260FC" w:rsidRDefault="006D55EB">
      <w:pPr>
        <w:pStyle w:val="TM3"/>
        <w:tabs>
          <w:tab w:val="right" w:leader="dot" w:pos="9062"/>
        </w:tabs>
        <w:rPr>
          <w:rFonts w:eastAsiaTheme="minorEastAsia"/>
          <w:noProof/>
          <w:lang w:eastAsia="fr-FR"/>
        </w:rPr>
      </w:pPr>
      <w:hyperlink w:anchor="_Toc425414577" w:history="1">
        <w:r w:rsidR="00F260FC" w:rsidRPr="005E7E5B">
          <w:rPr>
            <w:rStyle w:val="Lienhypertexte"/>
            <w:rFonts w:cs="ACaslonPro-Regular"/>
            <w:noProof/>
          </w:rPr>
          <w:t>III.1.5 Approche de réplication</w:t>
        </w:r>
        <w:r w:rsidR="00F260FC">
          <w:rPr>
            <w:noProof/>
            <w:webHidden/>
          </w:rPr>
          <w:tab/>
        </w:r>
        <w:r>
          <w:rPr>
            <w:noProof/>
            <w:webHidden/>
          </w:rPr>
          <w:fldChar w:fldCharType="begin"/>
        </w:r>
        <w:r w:rsidR="00F260FC">
          <w:rPr>
            <w:noProof/>
            <w:webHidden/>
          </w:rPr>
          <w:instrText xml:space="preserve"> PAGEREF _Toc425414577 \h </w:instrText>
        </w:r>
        <w:r>
          <w:rPr>
            <w:noProof/>
            <w:webHidden/>
          </w:rPr>
        </w:r>
        <w:r>
          <w:rPr>
            <w:noProof/>
            <w:webHidden/>
          </w:rPr>
          <w:fldChar w:fldCharType="separate"/>
        </w:r>
        <w:r w:rsidR="00F260FC">
          <w:rPr>
            <w:noProof/>
            <w:webHidden/>
          </w:rPr>
          <w:t>27</w:t>
        </w:r>
        <w:r>
          <w:rPr>
            <w:noProof/>
            <w:webHidden/>
          </w:rPr>
          <w:fldChar w:fldCharType="end"/>
        </w:r>
      </w:hyperlink>
    </w:p>
    <w:p w:rsidR="00F260FC" w:rsidRDefault="006D55EB">
      <w:pPr>
        <w:pStyle w:val="TM3"/>
        <w:tabs>
          <w:tab w:val="right" w:leader="dot" w:pos="9062"/>
        </w:tabs>
        <w:rPr>
          <w:rFonts w:eastAsiaTheme="minorEastAsia"/>
          <w:noProof/>
          <w:lang w:eastAsia="fr-FR"/>
        </w:rPr>
      </w:pPr>
      <w:hyperlink w:anchor="_Toc425414578" w:history="1">
        <w:r w:rsidR="00F260FC" w:rsidRPr="005E7E5B">
          <w:rPr>
            <w:rStyle w:val="Lienhypertexte"/>
            <w:rFonts w:cs="Calibri"/>
            <w:noProof/>
          </w:rPr>
          <w:t xml:space="preserve">III.1.6 </w:t>
        </w:r>
        <w:r w:rsidR="00F260FC" w:rsidRPr="005E7E5B">
          <w:rPr>
            <w:rStyle w:val="Lienhypertexte"/>
            <w:rFonts w:cs="ACaslonPro-Regular"/>
            <w:noProof/>
          </w:rPr>
          <w:t>Avantage comparatif du PNUD</w:t>
        </w:r>
        <w:r w:rsidR="00F260FC">
          <w:rPr>
            <w:noProof/>
            <w:webHidden/>
          </w:rPr>
          <w:tab/>
        </w:r>
        <w:r>
          <w:rPr>
            <w:noProof/>
            <w:webHidden/>
          </w:rPr>
          <w:fldChar w:fldCharType="begin"/>
        </w:r>
        <w:r w:rsidR="00F260FC">
          <w:rPr>
            <w:noProof/>
            <w:webHidden/>
          </w:rPr>
          <w:instrText xml:space="preserve"> PAGEREF _Toc425414578 \h </w:instrText>
        </w:r>
        <w:r>
          <w:rPr>
            <w:noProof/>
            <w:webHidden/>
          </w:rPr>
        </w:r>
        <w:r>
          <w:rPr>
            <w:noProof/>
            <w:webHidden/>
          </w:rPr>
          <w:fldChar w:fldCharType="separate"/>
        </w:r>
        <w:r w:rsidR="00F260FC">
          <w:rPr>
            <w:noProof/>
            <w:webHidden/>
          </w:rPr>
          <w:t>28</w:t>
        </w:r>
        <w:r>
          <w:rPr>
            <w:noProof/>
            <w:webHidden/>
          </w:rPr>
          <w:fldChar w:fldCharType="end"/>
        </w:r>
      </w:hyperlink>
    </w:p>
    <w:p w:rsidR="00F260FC" w:rsidRDefault="006D55EB">
      <w:pPr>
        <w:pStyle w:val="TM3"/>
        <w:tabs>
          <w:tab w:val="right" w:leader="dot" w:pos="9062"/>
        </w:tabs>
        <w:rPr>
          <w:rFonts w:eastAsiaTheme="minorEastAsia"/>
          <w:noProof/>
          <w:lang w:eastAsia="fr-FR"/>
        </w:rPr>
      </w:pPr>
      <w:hyperlink w:anchor="_Toc425414579" w:history="1">
        <w:r w:rsidR="00F260FC" w:rsidRPr="005E7E5B">
          <w:rPr>
            <w:rStyle w:val="Lienhypertexte"/>
            <w:rFonts w:cs="Calibri"/>
            <w:noProof/>
          </w:rPr>
          <w:t xml:space="preserve">III.1.7 </w:t>
        </w:r>
        <w:r w:rsidR="00F260FC" w:rsidRPr="005E7E5B">
          <w:rPr>
            <w:rStyle w:val="Lienhypertexte"/>
            <w:rFonts w:cs="ACaslonPro-Regular"/>
            <w:noProof/>
          </w:rPr>
          <w:t>Les liens entre le projet et d’autres interventions au sein du secteur</w:t>
        </w:r>
        <w:r w:rsidR="00F260FC">
          <w:rPr>
            <w:noProof/>
            <w:webHidden/>
          </w:rPr>
          <w:tab/>
        </w:r>
        <w:r>
          <w:rPr>
            <w:noProof/>
            <w:webHidden/>
          </w:rPr>
          <w:fldChar w:fldCharType="begin"/>
        </w:r>
        <w:r w:rsidR="00F260FC">
          <w:rPr>
            <w:noProof/>
            <w:webHidden/>
          </w:rPr>
          <w:instrText xml:space="preserve"> PAGEREF _Toc425414579 \h </w:instrText>
        </w:r>
        <w:r>
          <w:rPr>
            <w:noProof/>
            <w:webHidden/>
          </w:rPr>
        </w:r>
        <w:r>
          <w:rPr>
            <w:noProof/>
            <w:webHidden/>
          </w:rPr>
          <w:fldChar w:fldCharType="separate"/>
        </w:r>
        <w:r w:rsidR="00F260FC">
          <w:rPr>
            <w:noProof/>
            <w:webHidden/>
          </w:rPr>
          <w:t>28</w:t>
        </w:r>
        <w:r>
          <w:rPr>
            <w:noProof/>
            <w:webHidden/>
          </w:rPr>
          <w:fldChar w:fldCharType="end"/>
        </w:r>
      </w:hyperlink>
    </w:p>
    <w:p w:rsidR="00F260FC" w:rsidRDefault="006D55EB">
      <w:pPr>
        <w:pStyle w:val="TM3"/>
        <w:tabs>
          <w:tab w:val="right" w:leader="dot" w:pos="9062"/>
        </w:tabs>
        <w:rPr>
          <w:rFonts w:eastAsiaTheme="minorEastAsia"/>
          <w:noProof/>
          <w:lang w:eastAsia="fr-FR"/>
        </w:rPr>
      </w:pPr>
      <w:hyperlink w:anchor="_Toc425414580" w:history="1">
        <w:r w:rsidR="00F260FC" w:rsidRPr="005E7E5B">
          <w:rPr>
            <w:rStyle w:val="Lienhypertexte"/>
            <w:rFonts w:cs="Calibri"/>
            <w:noProof/>
          </w:rPr>
          <w:t xml:space="preserve">III.1.8 </w:t>
        </w:r>
        <w:r w:rsidR="00F260FC" w:rsidRPr="005E7E5B">
          <w:rPr>
            <w:rStyle w:val="Lienhypertexte"/>
            <w:rFonts w:cs="ACaslonPro-Regular"/>
            <w:noProof/>
          </w:rPr>
          <w:t>Modalités de gestion</w:t>
        </w:r>
        <w:r w:rsidR="00F260FC">
          <w:rPr>
            <w:noProof/>
            <w:webHidden/>
          </w:rPr>
          <w:tab/>
        </w:r>
        <w:r>
          <w:rPr>
            <w:noProof/>
            <w:webHidden/>
          </w:rPr>
          <w:fldChar w:fldCharType="begin"/>
        </w:r>
        <w:r w:rsidR="00F260FC">
          <w:rPr>
            <w:noProof/>
            <w:webHidden/>
          </w:rPr>
          <w:instrText xml:space="preserve"> PAGEREF _Toc425414580 \h </w:instrText>
        </w:r>
        <w:r>
          <w:rPr>
            <w:noProof/>
            <w:webHidden/>
          </w:rPr>
        </w:r>
        <w:r>
          <w:rPr>
            <w:noProof/>
            <w:webHidden/>
          </w:rPr>
          <w:fldChar w:fldCharType="separate"/>
        </w:r>
        <w:r w:rsidR="00F260FC">
          <w:rPr>
            <w:noProof/>
            <w:webHidden/>
          </w:rPr>
          <w:t>29</w:t>
        </w:r>
        <w:r>
          <w:rPr>
            <w:noProof/>
            <w:webHidden/>
          </w:rPr>
          <w:fldChar w:fldCharType="end"/>
        </w:r>
      </w:hyperlink>
    </w:p>
    <w:p w:rsidR="00F260FC" w:rsidRDefault="006D55EB">
      <w:pPr>
        <w:pStyle w:val="TM2"/>
        <w:tabs>
          <w:tab w:val="right" w:leader="dot" w:pos="9062"/>
        </w:tabs>
        <w:rPr>
          <w:rFonts w:eastAsiaTheme="minorEastAsia"/>
          <w:noProof/>
          <w:lang w:eastAsia="fr-FR"/>
        </w:rPr>
      </w:pPr>
      <w:hyperlink w:anchor="_Toc425414581" w:history="1">
        <w:r w:rsidR="00F260FC" w:rsidRPr="005E7E5B">
          <w:rPr>
            <w:rStyle w:val="Lienhypertexte"/>
            <w:rFonts w:cs="MyriadPro-Bold"/>
            <w:noProof/>
          </w:rPr>
          <w:t>III.2 Mise en œuvre du projet</w:t>
        </w:r>
        <w:r w:rsidR="00F260FC">
          <w:rPr>
            <w:noProof/>
            <w:webHidden/>
          </w:rPr>
          <w:tab/>
        </w:r>
        <w:r>
          <w:rPr>
            <w:noProof/>
            <w:webHidden/>
          </w:rPr>
          <w:fldChar w:fldCharType="begin"/>
        </w:r>
        <w:r w:rsidR="00F260FC">
          <w:rPr>
            <w:noProof/>
            <w:webHidden/>
          </w:rPr>
          <w:instrText xml:space="preserve"> PAGEREF _Toc425414581 \h </w:instrText>
        </w:r>
        <w:r>
          <w:rPr>
            <w:noProof/>
            <w:webHidden/>
          </w:rPr>
        </w:r>
        <w:r>
          <w:rPr>
            <w:noProof/>
            <w:webHidden/>
          </w:rPr>
          <w:fldChar w:fldCharType="separate"/>
        </w:r>
        <w:r w:rsidR="00F260FC">
          <w:rPr>
            <w:noProof/>
            <w:webHidden/>
          </w:rPr>
          <w:t>31</w:t>
        </w:r>
        <w:r>
          <w:rPr>
            <w:noProof/>
            <w:webHidden/>
          </w:rPr>
          <w:fldChar w:fldCharType="end"/>
        </w:r>
      </w:hyperlink>
    </w:p>
    <w:p w:rsidR="00F260FC" w:rsidRDefault="006D55EB">
      <w:pPr>
        <w:pStyle w:val="TM3"/>
        <w:tabs>
          <w:tab w:val="right" w:leader="dot" w:pos="9062"/>
        </w:tabs>
        <w:rPr>
          <w:rFonts w:eastAsiaTheme="minorEastAsia"/>
          <w:noProof/>
          <w:lang w:eastAsia="fr-FR"/>
        </w:rPr>
      </w:pPr>
      <w:hyperlink w:anchor="_Toc425414582" w:history="1">
        <w:r w:rsidR="00F260FC" w:rsidRPr="005E7E5B">
          <w:rPr>
            <w:rStyle w:val="Lienhypertexte"/>
            <w:rFonts w:cs="ACaslonPro-Regular"/>
            <w:noProof/>
          </w:rPr>
          <w:t>III.2.1 Gestion adaptative (modifications apportées à la conception du projet et résultats du projet lors de la mise en œuvre)</w:t>
        </w:r>
        <w:r w:rsidR="00F260FC">
          <w:rPr>
            <w:noProof/>
            <w:webHidden/>
          </w:rPr>
          <w:tab/>
        </w:r>
        <w:r>
          <w:rPr>
            <w:noProof/>
            <w:webHidden/>
          </w:rPr>
          <w:fldChar w:fldCharType="begin"/>
        </w:r>
        <w:r w:rsidR="00F260FC">
          <w:rPr>
            <w:noProof/>
            <w:webHidden/>
          </w:rPr>
          <w:instrText xml:space="preserve"> PAGEREF _Toc425414582 \h </w:instrText>
        </w:r>
        <w:r>
          <w:rPr>
            <w:noProof/>
            <w:webHidden/>
          </w:rPr>
        </w:r>
        <w:r>
          <w:rPr>
            <w:noProof/>
            <w:webHidden/>
          </w:rPr>
          <w:fldChar w:fldCharType="separate"/>
        </w:r>
        <w:r w:rsidR="00F260FC">
          <w:rPr>
            <w:noProof/>
            <w:webHidden/>
          </w:rPr>
          <w:t>31</w:t>
        </w:r>
        <w:r>
          <w:rPr>
            <w:noProof/>
            <w:webHidden/>
          </w:rPr>
          <w:fldChar w:fldCharType="end"/>
        </w:r>
      </w:hyperlink>
    </w:p>
    <w:p w:rsidR="00F260FC" w:rsidRDefault="006D55EB">
      <w:pPr>
        <w:pStyle w:val="TM3"/>
        <w:tabs>
          <w:tab w:val="right" w:leader="dot" w:pos="9062"/>
        </w:tabs>
        <w:rPr>
          <w:rFonts w:eastAsiaTheme="minorEastAsia"/>
          <w:noProof/>
          <w:lang w:eastAsia="fr-FR"/>
        </w:rPr>
      </w:pPr>
      <w:hyperlink w:anchor="_Toc425414583" w:history="1">
        <w:r w:rsidR="00F260FC" w:rsidRPr="005E7E5B">
          <w:rPr>
            <w:rStyle w:val="Lienhypertexte"/>
            <w:rFonts w:cs="Calibri"/>
            <w:noProof/>
          </w:rPr>
          <w:t xml:space="preserve">III.2.2 </w:t>
        </w:r>
        <w:r w:rsidR="00F260FC" w:rsidRPr="005E7E5B">
          <w:rPr>
            <w:rStyle w:val="Lienhypertexte"/>
            <w:rFonts w:cs="ACaslonPro-Regular"/>
            <w:noProof/>
          </w:rPr>
          <w:t>Partenariats (avec les parties prenantes pertinentes impliquées dans le pays/la région)</w:t>
        </w:r>
        <w:r w:rsidR="00F260FC">
          <w:rPr>
            <w:noProof/>
            <w:webHidden/>
          </w:rPr>
          <w:tab/>
        </w:r>
        <w:r>
          <w:rPr>
            <w:noProof/>
            <w:webHidden/>
          </w:rPr>
          <w:fldChar w:fldCharType="begin"/>
        </w:r>
        <w:r w:rsidR="00F260FC">
          <w:rPr>
            <w:noProof/>
            <w:webHidden/>
          </w:rPr>
          <w:instrText xml:space="preserve"> PAGEREF _Toc425414583 \h </w:instrText>
        </w:r>
        <w:r>
          <w:rPr>
            <w:noProof/>
            <w:webHidden/>
          </w:rPr>
        </w:r>
        <w:r>
          <w:rPr>
            <w:noProof/>
            <w:webHidden/>
          </w:rPr>
          <w:fldChar w:fldCharType="separate"/>
        </w:r>
        <w:r w:rsidR="00F260FC">
          <w:rPr>
            <w:noProof/>
            <w:webHidden/>
          </w:rPr>
          <w:t>32</w:t>
        </w:r>
        <w:r>
          <w:rPr>
            <w:noProof/>
            <w:webHidden/>
          </w:rPr>
          <w:fldChar w:fldCharType="end"/>
        </w:r>
      </w:hyperlink>
    </w:p>
    <w:p w:rsidR="00F260FC" w:rsidRDefault="006D55EB">
      <w:pPr>
        <w:pStyle w:val="TM3"/>
        <w:tabs>
          <w:tab w:val="right" w:leader="dot" w:pos="9062"/>
        </w:tabs>
        <w:rPr>
          <w:rFonts w:eastAsiaTheme="minorEastAsia"/>
          <w:noProof/>
          <w:lang w:eastAsia="fr-FR"/>
        </w:rPr>
      </w:pPr>
      <w:hyperlink w:anchor="_Toc425414584" w:history="1">
        <w:r w:rsidR="00F260FC" w:rsidRPr="005E7E5B">
          <w:rPr>
            <w:rStyle w:val="Lienhypertexte"/>
            <w:rFonts w:cs="Calibri"/>
            <w:noProof/>
          </w:rPr>
          <w:t xml:space="preserve">III.2.3 </w:t>
        </w:r>
        <w:r w:rsidR="00F260FC" w:rsidRPr="005E7E5B">
          <w:rPr>
            <w:rStyle w:val="Lienhypertexte"/>
            <w:rFonts w:cs="ACaslonPro-Regular"/>
            <w:noProof/>
          </w:rPr>
          <w:t>Commentaires provenant des activités de suivi et d’évaluation utilisés dans le cadre de la gestion adaptative</w:t>
        </w:r>
        <w:r w:rsidR="00F260FC">
          <w:rPr>
            <w:noProof/>
            <w:webHidden/>
          </w:rPr>
          <w:tab/>
        </w:r>
        <w:r>
          <w:rPr>
            <w:noProof/>
            <w:webHidden/>
          </w:rPr>
          <w:fldChar w:fldCharType="begin"/>
        </w:r>
        <w:r w:rsidR="00F260FC">
          <w:rPr>
            <w:noProof/>
            <w:webHidden/>
          </w:rPr>
          <w:instrText xml:space="preserve"> PAGEREF _Toc425414584 \h </w:instrText>
        </w:r>
        <w:r>
          <w:rPr>
            <w:noProof/>
            <w:webHidden/>
          </w:rPr>
        </w:r>
        <w:r>
          <w:rPr>
            <w:noProof/>
            <w:webHidden/>
          </w:rPr>
          <w:fldChar w:fldCharType="separate"/>
        </w:r>
        <w:r w:rsidR="00F260FC">
          <w:rPr>
            <w:noProof/>
            <w:webHidden/>
          </w:rPr>
          <w:t>32</w:t>
        </w:r>
        <w:r>
          <w:rPr>
            <w:noProof/>
            <w:webHidden/>
          </w:rPr>
          <w:fldChar w:fldCharType="end"/>
        </w:r>
      </w:hyperlink>
    </w:p>
    <w:p w:rsidR="00F260FC" w:rsidRDefault="006D55EB">
      <w:pPr>
        <w:pStyle w:val="TM3"/>
        <w:tabs>
          <w:tab w:val="right" w:leader="dot" w:pos="9062"/>
        </w:tabs>
        <w:rPr>
          <w:rFonts w:eastAsiaTheme="minorEastAsia"/>
          <w:noProof/>
          <w:lang w:eastAsia="fr-FR"/>
        </w:rPr>
      </w:pPr>
      <w:hyperlink w:anchor="_Toc425414585" w:history="1">
        <w:r w:rsidR="00F260FC" w:rsidRPr="005E7E5B">
          <w:rPr>
            <w:rStyle w:val="Lienhypertexte"/>
            <w:rFonts w:cs="ACaslonPro-Regular"/>
            <w:noProof/>
          </w:rPr>
          <w:t>III.2.4 Financement du projet</w:t>
        </w:r>
        <w:r w:rsidR="00F260FC">
          <w:rPr>
            <w:noProof/>
            <w:webHidden/>
          </w:rPr>
          <w:tab/>
        </w:r>
        <w:r>
          <w:rPr>
            <w:noProof/>
            <w:webHidden/>
          </w:rPr>
          <w:fldChar w:fldCharType="begin"/>
        </w:r>
        <w:r w:rsidR="00F260FC">
          <w:rPr>
            <w:noProof/>
            <w:webHidden/>
          </w:rPr>
          <w:instrText xml:space="preserve"> PAGEREF _Toc425414585 \h </w:instrText>
        </w:r>
        <w:r>
          <w:rPr>
            <w:noProof/>
            <w:webHidden/>
          </w:rPr>
        </w:r>
        <w:r>
          <w:rPr>
            <w:noProof/>
            <w:webHidden/>
          </w:rPr>
          <w:fldChar w:fldCharType="separate"/>
        </w:r>
        <w:r w:rsidR="00F260FC">
          <w:rPr>
            <w:noProof/>
            <w:webHidden/>
          </w:rPr>
          <w:t>33</w:t>
        </w:r>
        <w:r>
          <w:rPr>
            <w:noProof/>
            <w:webHidden/>
          </w:rPr>
          <w:fldChar w:fldCharType="end"/>
        </w:r>
      </w:hyperlink>
    </w:p>
    <w:p w:rsidR="00F260FC" w:rsidRDefault="006D55EB">
      <w:pPr>
        <w:pStyle w:val="TM3"/>
        <w:tabs>
          <w:tab w:val="right" w:leader="dot" w:pos="9062"/>
        </w:tabs>
        <w:rPr>
          <w:rFonts w:eastAsiaTheme="minorEastAsia"/>
          <w:noProof/>
          <w:lang w:eastAsia="fr-FR"/>
        </w:rPr>
      </w:pPr>
      <w:hyperlink w:anchor="_Toc425414586" w:history="1">
        <w:r w:rsidR="00F260FC" w:rsidRPr="005E7E5B">
          <w:rPr>
            <w:rStyle w:val="Lienhypertexte"/>
            <w:rFonts w:cs="Calibri"/>
            <w:noProof/>
          </w:rPr>
          <w:t xml:space="preserve">III.2.5 </w:t>
        </w:r>
        <w:r w:rsidR="00F260FC" w:rsidRPr="005E7E5B">
          <w:rPr>
            <w:rStyle w:val="Lienhypertexte"/>
            <w:rFonts w:cs="ACaslonPro-Regular"/>
            <w:noProof/>
          </w:rPr>
          <w:t>Suivi et évaluation : conception à l’entrée et mise en œuvre</w:t>
        </w:r>
        <w:r w:rsidR="00F260FC">
          <w:rPr>
            <w:noProof/>
            <w:webHidden/>
          </w:rPr>
          <w:tab/>
        </w:r>
        <w:r>
          <w:rPr>
            <w:noProof/>
            <w:webHidden/>
          </w:rPr>
          <w:fldChar w:fldCharType="begin"/>
        </w:r>
        <w:r w:rsidR="00F260FC">
          <w:rPr>
            <w:noProof/>
            <w:webHidden/>
          </w:rPr>
          <w:instrText xml:space="preserve"> PAGEREF _Toc425414586 \h </w:instrText>
        </w:r>
        <w:r>
          <w:rPr>
            <w:noProof/>
            <w:webHidden/>
          </w:rPr>
        </w:r>
        <w:r>
          <w:rPr>
            <w:noProof/>
            <w:webHidden/>
          </w:rPr>
          <w:fldChar w:fldCharType="separate"/>
        </w:r>
        <w:r w:rsidR="00F260FC">
          <w:rPr>
            <w:noProof/>
            <w:webHidden/>
          </w:rPr>
          <w:t>36</w:t>
        </w:r>
        <w:r>
          <w:rPr>
            <w:noProof/>
            <w:webHidden/>
          </w:rPr>
          <w:fldChar w:fldCharType="end"/>
        </w:r>
      </w:hyperlink>
    </w:p>
    <w:p w:rsidR="00F260FC" w:rsidRDefault="006D55EB">
      <w:pPr>
        <w:pStyle w:val="TM3"/>
        <w:tabs>
          <w:tab w:val="right" w:leader="dot" w:pos="9062"/>
        </w:tabs>
        <w:rPr>
          <w:rFonts w:eastAsiaTheme="minorEastAsia"/>
          <w:noProof/>
          <w:lang w:eastAsia="fr-FR"/>
        </w:rPr>
      </w:pPr>
      <w:hyperlink w:anchor="_Toc425414587" w:history="1">
        <w:r w:rsidR="00F260FC" w:rsidRPr="005E7E5B">
          <w:rPr>
            <w:rStyle w:val="Lienhypertexte"/>
            <w:rFonts w:cs="ACaslonPro-Regular"/>
            <w:noProof/>
          </w:rPr>
          <w:t>III.2.6 Coordination au niveau de la mise en œuvre et de l’exécution avec le PNUD et le partenaire de mise en œuvre et questions opérationnelles</w:t>
        </w:r>
        <w:r w:rsidR="00F260FC">
          <w:rPr>
            <w:noProof/>
            <w:webHidden/>
          </w:rPr>
          <w:tab/>
        </w:r>
        <w:r>
          <w:rPr>
            <w:noProof/>
            <w:webHidden/>
          </w:rPr>
          <w:fldChar w:fldCharType="begin"/>
        </w:r>
        <w:r w:rsidR="00F260FC">
          <w:rPr>
            <w:noProof/>
            <w:webHidden/>
          </w:rPr>
          <w:instrText xml:space="preserve"> PAGEREF _Toc425414587 \h </w:instrText>
        </w:r>
        <w:r>
          <w:rPr>
            <w:noProof/>
            <w:webHidden/>
          </w:rPr>
        </w:r>
        <w:r>
          <w:rPr>
            <w:noProof/>
            <w:webHidden/>
          </w:rPr>
          <w:fldChar w:fldCharType="separate"/>
        </w:r>
        <w:r w:rsidR="00F260FC">
          <w:rPr>
            <w:noProof/>
            <w:webHidden/>
          </w:rPr>
          <w:t>37</w:t>
        </w:r>
        <w:r>
          <w:rPr>
            <w:noProof/>
            <w:webHidden/>
          </w:rPr>
          <w:fldChar w:fldCharType="end"/>
        </w:r>
      </w:hyperlink>
    </w:p>
    <w:p w:rsidR="00F260FC" w:rsidRDefault="006D55EB">
      <w:pPr>
        <w:pStyle w:val="TM2"/>
        <w:tabs>
          <w:tab w:val="right" w:leader="dot" w:pos="9062"/>
        </w:tabs>
        <w:rPr>
          <w:rFonts w:eastAsiaTheme="minorEastAsia"/>
          <w:noProof/>
          <w:lang w:eastAsia="fr-FR"/>
        </w:rPr>
      </w:pPr>
      <w:hyperlink w:anchor="_Toc425414588" w:history="1">
        <w:r w:rsidR="00F260FC" w:rsidRPr="005E7E5B">
          <w:rPr>
            <w:rStyle w:val="Lienhypertexte"/>
            <w:rFonts w:cs="MyriadPro-Bold"/>
            <w:noProof/>
          </w:rPr>
          <w:t>III.3 Résultats du projet</w:t>
        </w:r>
        <w:r w:rsidR="00F260FC">
          <w:rPr>
            <w:noProof/>
            <w:webHidden/>
          </w:rPr>
          <w:tab/>
        </w:r>
        <w:r>
          <w:rPr>
            <w:noProof/>
            <w:webHidden/>
          </w:rPr>
          <w:fldChar w:fldCharType="begin"/>
        </w:r>
        <w:r w:rsidR="00F260FC">
          <w:rPr>
            <w:noProof/>
            <w:webHidden/>
          </w:rPr>
          <w:instrText xml:space="preserve"> PAGEREF _Toc425414588 \h </w:instrText>
        </w:r>
        <w:r>
          <w:rPr>
            <w:noProof/>
            <w:webHidden/>
          </w:rPr>
        </w:r>
        <w:r>
          <w:rPr>
            <w:noProof/>
            <w:webHidden/>
          </w:rPr>
          <w:fldChar w:fldCharType="separate"/>
        </w:r>
        <w:r w:rsidR="00F260FC">
          <w:rPr>
            <w:noProof/>
            <w:webHidden/>
          </w:rPr>
          <w:t>37</w:t>
        </w:r>
        <w:r>
          <w:rPr>
            <w:noProof/>
            <w:webHidden/>
          </w:rPr>
          <w:fldChar w:fldCharType="end"/>
        </w:r>
      </w:hyperlink>
    </w:p>
    <w:p w:rsidR="00F260FC" w:rsidRDefault="006D55EB">
      <w:pPr>
        <w:pStyle w:val="TM3"/>
        <w:tabs>
          <w:tab w:val="right" w:leader="dot" w:pos="9062"/>
        </w:tabs>
        <w:rPr>
          <w:rFonts w:eastAsiaTheme="minorEastAsia"/>
          <w:noProof/>
          <w:lang w:eastAsia="fr-FR"/>
        </w:rPr>
      </w:pPr>
      <w:hyperlink w:anchor="_Toc425414589" w:history="1">
        <w:r w:rsidR="00F260FC" w:rsidRPr="005E7E5B">
          <w:rPr>
            <w:rStyle w:val="Lienhypertexte"/>
            <w:rFonts w:cs="ACaslonPro-Regular"/>
            <w:noProof/>
          </w:rPr>
          <w:t>III.3.1. Résultats globaux</w:t>
        </w:r>
        <w:r w:rsidR="00F260FC">
          <w:rPr>
            <w:noProof/>
            <w:webHidden/>
          </w:rPr>
          <w:tab/>
        </w:r>
        <w:r>
          <w:rPr>
            <w:noProof/>
            <w:webHidden/>
          </w:rPr>
          <w:fldChar w:fldCharType="begin"/>
        </w:r>
        <w:r w:rsidR="00F260FC">
          <w:rPr>
            <w:noProof/>
            <w:webHidden/>
          </w:rPr>
          <w:instrText xml:space="preserve"> PAGEREF _Toc425414589 \h </w:instrText>
        </w:r>
        <w:r>
          <w:rPr>
            <w:noProof/>
            <w:webHidden/>
          </w:rPr>
        </w:r>
        <w:r>
          <w:rPr>
            <w:noProof/>
            <w:webHidden/>
          </w:rPr>
          <w:fldChar w:fldCharType="separate"/>
        </w:r>
        <w:r w:rsidR="00F260FC">
          <w:rPr>
            <w:noProof/>
            <w:webHidden/>
          </w:rPr>
          <w:t>37</w:t>
        </w:r>
        <w:r>
          <w:rPr>
            <w:noProof/>
            <w:webHidden/>
          </w:rPr>
          <w:fldChar w:fldCharType="end"/>
        </w:r>
      </w:hyperlink>
    </w:p>
    <w:p w:rsidR="00F260FC" w:rsidRDefault="006D55EB">
      <w:pPr>
        <w:pStyle w:val="TM3"/>
        <w:tabs>
          <w:tab w:val="right" w:leader="dot" w:pos="9062"/>
        </w:tabs>
        <w:rPr>
          <w:rFonts w:eastAsiaTheme="minorEastAsia"/>
          <w:noProof/>
          <w:lang w:eastAsia="fr-FR"/>
        </w:rPr>
      </w:pPr>
      <w:hyperlink w:anchor="_Toc425414590" w:history="1">
        <w:r w:rsidR="00F260FC" w:rsidRPr="005E7E5B">
          <w:rPr>
            <w:rStyle w:val="Lienhypertexte"/>
            <w:rFonts w:cs="Calibri"/>
            <w:noProof/>
          </w:rPr>
          <w:t xml:space="preserve">III.3.2 </w:t>
        </w:r>
        <w:r w:rsidR="00F260FC" w:rsidRPr="005E7E5B">
          <w:rPr>
            <w:rStyle w:val="Lienhypertexte"/>
            <w:rFonts w:cs="ACaslonPro-Regular"/>
            <w:noProof/>
          </w:rPr>
          <w:t>Pertinence</w:t>
        </w:r>
        <w:r w:rsidR="00F260FC">
          <w:rPr>
            <w:noProof/>
            <w:webHidden/>
          </w:rPr>
          <w:tab/>
        </w:r>
        <w:r>
          <w:rPr>
            <w:noProof/>
            <w:webHidden/>
          </w:rPr>
          <w:fldChar w:fldCharType="begin"/>
        </w:r>
        <w:r w:rsidR="00F260FC">
          <w:rPr>
            <w:noProof/>
            <w:webHidden/>
          </w:rPr>
          <w:instrText xml:space="preserve"> PAGEREF _Toc425414590 \h </w:instrText>
        </w:r>
        <w:r>
          <w:rPr>
            <w:noProof/>
            <w:webHidden/>
          </w:rPr>
        </w:r>
        <w:r>
          <w:rPr>
            <w:noProof/>
            <w:webHidden/>
          </w:rPr>
          <w:fldChar w:fldCharType="separate"/>
        </w:r>
        <w:r w:rsidR="00F260FC">
          <w:rPr>
            <w:noProof/>
            <w:webHidden/>
          </w:rPr>
          <w:t>40</w:t>
        </w:r>
        <w:r>
          <w:rPr>
            <w:noProof/>
            <w:webHidden/>
          </w:rPr>
          <w:fldChar w:fldCharType="end"/>
        </w:r>
      </w:hyperlink>
    </w:p>
    <w:p w:rsidR="00F260FC" w:rsidRDefault="006D55EB">
      <w:pPr>
        <w:pStyle w:val="TM3"/>
        <w:tabs>
          <w:tab w:val="right" w:leader="dot" w:pos="9062"/>
        </w:tabs>
        <w:rPr>
          <w:rFonts w:eastAsiaTheme="minorEastAsia"/>
          <w:noProof/>
          <w:lang w:eastAsia="fr-FR"/>
        </w:rPr>
      </w:pPr>
      <w:hyperlink w:anchor="_Toc425414591" w:history="1">
        <w:r w:rsidR="00F260FC" w:rsidRPr="005E7E5B">
          <w:rPr>
            <w:rStyle w:val="Lienhypertexte"/>
            <w:rFonts w:cs="Garamond"/>
            <w:noProof/>
          </w:rPr>
          <w:t>III.3.3. Efficacité et efficience</w:t>
        </w:r>
        <w:r w:rsidR="00F260FC">
          <w:rPr>
            <w:noProof/>
            <w:webHidden/>
          </w:rPr>
          <w:tab/>
        </w:r>
        <w:r>
          <w:rPr>
            <w:noProof/>
            <w:webHidden/>
          </w:rPr>
          <w:fldChar w:fldCharType="begin"/>
        </w:r>
        <w:r w:rsidR="00F260FC">
          <w:rPr>
            <w:noProof/>
            <w:webHidden/>
          </w:rPr>
          <w:instrText xml:space="preserve"> PAGEREF _Toc425414591 \h </w:instrText>
        </w:r>
        <w:r>
          <w:rPr>
            <w:noProof/>
            <w:webHidden/>
          </w:rPr>
        </w:r>
        <w:r>
          <w:rPr>
            <w:noProof/>
            <w:webHidden/>
          </w:rPr>
          <w:fldChar w:fldCharType="separate"/>
        </w:r>
        <w:r w:rsidR="00F260FC">
          <w:rPr>
            <w:noProof/>
            <w:webHidden/>
          </w:rPr>
          <w:t>42</w:t>
        </w:r>
        <w:r>
          <w:rPr>
            <w:noProof/>
            <w:webHidden/>
          </w:rPr>
          <w:fldChar w:fldCharType="end"/>
        </w:r>
      </w:hyperlink>
    </w:p>
    <w:p w:rsidR="00F260FC" w:rsidRDefault="006D55EB">
      <w:pPr>
        <w:pStyle w:val="TM3"/>
        <w:tabs>
          <w:tab w:val="right" w:leader="dot" w:pos="9062"/>
        </w:tabs>
        <w:rPr>
          <w:rFonts w:eastAsiaTheme="minorEastAsia"/>
          <w:noProof/>
          <w:lang w:eastAsia="fr-FR"/>
        </w:rPr>
      </w:pPr>
      <w:hyperlink w:anchor="_Toc425414592" w:history="1">
        <w:r w:rsidR="00F260FC" w:rsidRPr="005E7E5B">
          <w:rPr>
            <w:rStyle w:val="Lienhypertexte"/>
            <w:rFonts w:cs="Calibri"/>
            <w:noProof/>
          </w:rPr>
          <w:t xml:space="preserve">III.3.4 </w:t>
        </w:r>
        <w:r w:rsidR="00F260FC" w:rsidRPr="005E7E5B">
          <w:rPr>
            <w:rStyle w:val="Lienhypertexte"/>
            <w:rFonts w:cs="ACaslonPro-Regular"/>
            <w:noProof/>
          </w:rPr>
          <w:t>Appropriation par le pays</w:t>
        </w:r>
        <w:r w:rsidR="00F260FC">
          <w:rPr>
            <w:noProof/>
            <w:webHidden/>
          </w:rPr>
          <w:tab/>
        </w:r>
        <w:r>
          <w:rPr>
            <w:noProof/>
            <w:webHidden/>
          </w:rPr>
          <w:fldChar w:fldCharType="begin"/>
        </w:r>
        <w:r w:rsidR="00F260FC">
          <w:rPr>
            <w:noProof/>
            <w:webHidden/>
          </w:rPr>
          <w:instrText xml:space="preserve"> PAGEREF _Toc425414592 \h </w:instrText>
        </w:r>
        <w:r>
          <w:rPr>
            <w:noProof/>
            <w:webHidden/>
          </w:rPr>
        </w:r>
        <w:r>
          <w:rPr>
            <w:noProof/>
            <w:webHidden/>
          </w:rPr>
          <w:fldChar w:fldCharType="separate"/>
        </w:r>
        <w:r w:rsidR="00F260FC">
          <w:rPr>
            <w:noProof/>
            <w:webHidden/>
          </w:rPr>
          <w:t>46</w:t>
        </w:r>
        <w:r>
          <w:rPr>
            <w:noProof/>
            <w:webHidden/>
          </w:rPr>
          <w:fldChar w:fldCharType="end"/>
        </w:r>
      </w:hyperlink>
    </w:p>
    <w:p w:rsidR="00F260FC" w:rsidRDefault="006D55EB">
      <w:pPr>
        <w:pStyle w:val="TM3"/>
        <w:tabs>
          <w:tab w:val="right" w:leader="dot" w:pos="9062"/>
        </w:tabs>
        <w:rPr>
          <w:rFonts w:eastAsiaTheme="minorEastAsia"/>
          <w:noProof/>
          <w:lang w:eastAsia="fr-FR"/>
        </w:rPr>
      </w:pPr>
      <w:hyperlink w:anchor="_Toc425414593" w:history="1">
        <w:r w:rsidR="00F260FC" w:rsidRPr="005E7E5B">
          <w:rPr>
            <w:rStyle w:val="Lienhypertexte"/>
            <w:rFonts w:cs="Calibri"/>
            <w:noProof/>
          </w:rPr>
          <w:t xml:space="preserve">III.3.5 </w:t>
        </w:r>
        <w:r w:rsidR="00F260FC" w:rsidRPr="005E7E5B">
          <w:rPr>
            <w:rStyle w:val="Lienhypertexte"/>
            <w:rFonts w:cs="ACaslonPro-Regular"/>
            <w:noProof/>
          </w:rPr>
          <w:t>Intégration</w:t>
        </w:r>
        <w:r w:rsidR="00F260FC">
          <w:rPr>
            <w:noProof/>
            <w:webHidden/>
          </w:rPr>
          <w:tab/>
        </w:r>
        <w:r>
          <w:rPr>
            <w:noProof/>
            <w:webHidden/>
          </w:rPr>
          <w:fldChar w:fldCharType="begin"/>
        </w:r>
        <w:r w:rsidR="00F260FC">
          <w:rPr>
            <w:noProof/>
            <w:webHidden/>
          </w:rPr>
          <w:instrText xml:space="preserve"> PAGEREF _Toc425414593 \h </w:instrText>
        </w:r>
        <w:r>
          <w:rPr>
            <w:noProof/>
            <w:webHidden/>
          </w:rPr>
        </w:r>
        <w:r>
          <w:rPr>
            <w:noProof/>
            <w:webHidden/>
          </w:rPr>
          <w:fldChar w:fldCharType="separate"/>
        </w:r>
        <w:r w:rsidR="00F260FC">
          <w:rPr>
            <w:noProof/>
            <w:webHidden/>
          </w:rPr>
          <w:t>46</w:t>
        </w:r>
        <w:r>
          <w:rPr>
            <w:noProof/>
            <w:webHidden/>
          </w:rPr>
          <w:fldChar w:fldCharType="end"/>
        </w:r>
      </w:hyperlink>
    </w:p>
    <w:p w:rsidR="00F260FC" w:rsidRDefault="006D55EB">
      <w:pPr>
        <w:pStyle w:val="TM3"/>
        <w:tabs>
          <w:tab w:val="right" w:leader="dot" w:pos="9062"/>
        </w:tabs>
        <w:rPr>
          <w:rFonts w:eastAsiaTheme="minorEastAsia"/>
          <w:noProof/>
          <w:lang w:eastAsia="fr-FR"/>
        </w:rPr>
      </w:pPr>
      <w:hyperlink w:anchor="_Toc425414594" w:history="1">
        <w:r w:rsidR="00F260FC" w:rsidRPr="005E7E5B">
          <w:rPr>
            <w:rStyle w:val="Lienhypertexte"/>
            <w:rFonts w:cs="Calibri"/>
            <w:noProof/>
          </w:rPr>
          <w:t xml:space="preserve">III.3.6 </w:t>
        </w:r>
        <w:r w:rsidR="00F260FC" w:rsidRPr="005E7E5B">
          <w:rPr>
            <w:rStyle w:val="Lienhypertexte"/>
            <w:rFonts w:cs="ACaslonPro-Regular"/>
            <w:noProof/>
          </w:rPr>
          <w:t>Durabilité</w:t>
        </w:r>
        <w:r w:rsidR="00F260FC">
          <w:rPr>
            <w:noProof/>
            <w:webHidden/>
          </w:rPr>
          <w:tab/>
        </w:r>
        <w:r>
          <w:rPr>
            <w:noProof/>
            <w:webHidden/>
          </w:rPr>
          <w:fldChar w:fldCharType="begin"/>
        </w:r>
        <w:r w:rsidR="00F260FC">
          <w:rPr>
            <w:noProof/>
            <w:webHidden/>
          </w:rPr>
          <w:instrText xml:space="preserve"> PAGEREF _Toc425414594 \h </w:instrText>
        </w:r>
        <w:r>
          <w:rPr>
            <w:noProof/>
            <w:webHidden/>
          </w:rPr>
        </w:r>
        <w:r>
          <w:rPr>
            <w:noProof/>
            <w:webHidden/>
          </w:rPr>
          <w:fldChar w:fldCharType="separate"/>
        </w:r>
        <w:r w:rsidR="00F260FC">
          <w:rPr>
            <w:noProof/>
            <w:webHidden/>
          </w:rPr>
          <w:t>47</w:t>
        </w:r>
        <w:r>
          <w:rPr>
            <w:noProof/>
            <w:webHidden/>
          </w:rPr>
          <w:fldChar w:fldCharType="end"/>
        </w:r>
      </w:hyperlink>
    </w:p>
    <w:p w:rsidR="00F260FC" w:rsidRDefault="006D55EB">
      <w:pPr>
        <w:pStyle w:val="TM3"/>
        <w:tabs>
          <w:tab w:val="right" w:leader="dot" w:pos="9062"/>
        </w:tabs>
        <w:rPr>
          <w:rFonts w:eastAsiaTheme="minorEastAsia"/>
          <w:noProof/>
          <w:lang w:eastAsia="fr-FR"/>
        </w:rPr>
      </w:pPr>
      <w:hyperlink w:anchor="_Toc425414595" w:history="1">
        <w:r w:rsidR="00F260FC" w:rsidRPr="005E7E5B">
          <w:rPr>
            <w:rStyle w:val="Lienhypertexte"/>
            <w:rFonts w:cs="Calibri"/>
            <w:noProof/>
          </w:rPr>
          <w:t xml:space="preserve">III.3.7 </w:t>
        </w:r>
        <w:r w:rsidR="00F260FC" w:rsidRPr="005E7E5B">
          <w:rPr>
            <w:rStyle w:val="Lienhypertexte"/>
            <w:rFonts w:cs="ACaslonPro-Regular"/>
            <w:noProof/>
          </w:rPr>
          <w:t>Impact</w:t>
        </w:r>
        <w:r w:rsidR="00F260FC">
          <w:rPr>
            <w:noProof/>
            <w:webHidden/>
          </w:rPr>
          <w:tab/>
        </w:r>
        <w:r>
          <w:rPr>
            <w:noProof/>
            <w:webHidden/>
          </w:rPr>
          <w:fldChar w:fldCharType="begin"/>
        </w:r>
        <w:r w:rsidR="00F260FC">
          <w:rPr>
            <w:noProof/>
            <w:webHidden/>
          </w:rPr>
          <w:instrText xml:space="preserve"> PAGEREF _Toc425414595 \h </w:instrText>
        </w:r>
        <w:r>
          <w:rPr>
            <w:noProof/>
            <w:webHidden/>
          </w:rPr>
        </w:r>
        <w:r>
          <w:rPr>
            <w:noProof/>
            <w:webHidden/>
          </w:rPr>
          <w:fldChar w:fldCharType="separate"/>
        </w:r>
        <w:r w:rsidR="00F260FC">
          <w:rPr>
            <w:noProof/>
            <w:webHidden/>
          </w:rPr>
          <w:t>48</w:t>
        </w:r>
        <w:r>
          <w:rPr>
            <w:noProof/>
            <w:webHidden/>
          </w:rPr>
          <w:fldChar w:fldCharType="end"/>
        </w:r>
      </w:hyperlink>
    </w:p>
    <w:p w:rsidR="00F260FC" w:rsidRDefault="006D55EB">
      <w:pPr>
        <w:pStyle w:val="TM1"/>
        <w:rPr>
          <w:rFonts w:eastAsiaTheme="minorEastAsia" w:cstheme="minorBidi"/>
          <w:b w:val="0"/>
          <w:lang w:eastAsia="fr-FR"/>
        </w:rPr>
      </w:pPr>
      <w:hyperlink w:anchor="_Toc425414596" w:history="1">
        <w:r w:rsidR="00F260FC" w:rsidRPr="005E7E5B">
          <w:rPr>
            <w:rStyle w:val="Lienhypertexte"/>
          </w:rPr>
          <w:t>IV. Conclusions</w:t>
        </w:r>
        <w:r w:rsidR="00F260FC">
          <w:rPr>
            <w:webHidden/>
          </w:rPr>
          <w:tab/>
        </w:r>
        <w:r>
          <w:rPr>
            <w:webHidden/>
          </w:rPr>
          <w:fldChar w:fldCharType="begin"/>
        </w:r>
        <w:r w:rsidR="00F260FC">
          <w:rPr>
            <w:webHidden/>
          </w:rPr>
          <w:instrText xml:space="preserve"> PAGEREF _Toc425414596 \h </w:instrText>
        </w:r>
        <w:r>
          <w:rPr>
            <w:webHidden/>
          </w:rPr>
        </w:r>
        <w:r>
          <w:rPr>
            <w:webHidden/>
          </w:rPr>
          <w:fldChar w:fldCharType="separate"/>
        </w:r>
        <w:r w:rsidR="00F260FC">
          <w:rPr>
            <w:webHidden/>
          </w:rPr>
          <w:t>48</w:t>
        </w:r>
        <w:r>
          <w:rPr>
            <w:webHidden/>
          </w:rPr>
          <w:fldChar w:fldCharType="end"/>
        </w:r>
      </w:hyperlink>
    </w:p>
    <w:p w:rsidR="00F260FC" w:rsidRDefault="006D55EB">
      <w:pPr>
        <w:pStyle w:val="TM2"/>
        <w:tabs>
          <w:tab w:val="right" w:leader="dot" w:pos="9062"/>
        </w:tabs>
        <w:rPr>
          <w:rFonts w:eastAsiaTheme="minorEastAsia"/>
          <w:noProof/>
          <w:lang w:eastAsia="fr-FR"/>
        </w:rPr>
      </w:pPr>
      <w:hyperlink w:anchor="_Toc425414597" w:history="1">
        <w:r w:rsidR="00F260FC" w:rsidRPr="005E7E5B">
          <w:rPr>
            <w:rStyle w:val="Lienhypertexte"/>
            <w:rFonts w:cs="ACaslonPro-Regular"/>
            <w:noProof/>
          </w:rPr>
          <w:t>IV.1 Mesures correctives pour la conception, la mise en œuvre, le suivi et l’évaluation du projet</w:t>
        </w:r>
        <w:r w:rsidR="00F260FC">
          <w:rPr>
            <w:noProof/>
            <w:webHidden/>
          </w:rPr>
          <w:tab/>
        </w:r>
        <w:r>
          <w:rPr>
            <w:noProof/>
            <w:webHidden/>
          </w:rPr>
          <w:fldChar w:fldCharType="begin"/>
        </w:r>
        <w:r w:rsidR="00F260FC">
          <w:rPr>
            <w:noProof/>
            <w:webHidden/>
          </w:rPr>
          <w:instrText xml:space="preserve"> PAGEREF _Toc425414597 \h </w:instrText>
        </w:r>
        <w:r>
          <w:rPr>
            <w:noProof/>
            <w:webHidden/>
          </w:rPr>
        </w:r>
        <w:r>
          <w:rPr>
            <w:noProof/>
            <w:webHidden/>
          </w:rPr>
          <w:fldChar w:fldCharType="separate"/>
        </w:r>
        <w:r w:rsidR="00F260FC">
          <w:rPr>
            <w:noProof/>
            <w:webHidden/>
          </w:rPr>
          <w:t>50</w:t>
        </w:r>
        <w:r>
          <w:rPr>
            <w:noProof/>
            <w:webHidden/>
          </w:rPr>
          <w:fldChar w:fldCharType="end"/>
        </w:r>
      </w:hyperlink>
    </w:p>
    <w:p w:rsidR="00F260FC" w:rsidRDefault="006D55EB">
      <w:pPr>
        <w:pStyle w:val="TM2"/>
        <w:tabs>
          <w:tab w:val="right" w:leader="dot" w:pos="9062"/>
        </w:tabs>
        <w:rPr>
          <w:rFonts w:eastAsiaTheme="minorEastAsia"/>
          <w:noProof/>
          <w:lang w:eastAsia="fr-FR"/>
        </w:rPr>
      </w:pPr>
      <w:hyperlink w:anchor="_Toc425414598" w:history="1">
        <w:r w:rsidR="00F260FC" w:rsidRPr="005E7E5B">
          <w:rPr>
            <w:rStyle w:val="Lienhypertexte"/>
            <w:rFonts w:cs="ACaslonPro-Regular"/>
            <w:noProof/>
          </w:rPr>
          <w:t>IV.2 Leçons apprises</w:t>
        </w:r>
        <w:r w:rsidR="00F260FC">
          <w:rPr>
            <w:noProof/>
            <w:webHidden/>
          </w:rPr>
          <w:tab/>
        </w:r>
        <w:r>
          <w:rPr>
            <w:noProof/>
            <w:webHidden/>
          </w:rPr>
          <w:fldChar w:fldCharType="begin"/>
        </w:r>
        <w:r w:rsidR="00F260FC">
          <w:rPr>
            <w:noProof/>
            <w:webHidden/>
          </w:rPr>
          <w:instrText xml:space="preserve"> PAGEREF _Toc425414598 \h </w:instrText>
        </w:r>
        <w:r>
          <w:rPr>
            <w:noProof/>
            <w:webHidden/>
          </w:rPr>
        </w:r>
        <w:r>
          <w:rPr>
            <w:noProof/>
            <w:webHidden/>
          </w:rPr>
          <w:fldChar w:fldCharType="separate"/>
        </w:r>
        <w:r w:rsidR="00F260FC">
          <w:rPr>
            <w:noProof/>
            <w:webHidden/>
          </w:rPr>
          <w:t>51</w:t>
        </w:r>
        <w:r>
          <w:rPr>
            <w:noProof/>
            <w:webHidden/>
          </w:rPr>
          <w:fldChar w:fldCharType="end"/>
        </w:r>
      </w:hyperlink>
    </w:p>
    <w:p w:rsidR="00F260FC" w:rsidRDefault="006D55EB">
      <w:pPr>
        <w:pStyle w:val="TM1"/>
        <w:rPr>
          <w:rFonts w:eastAsiaTheme="minorEastAsia" w:cstheme="minorBidi"/>
          <w:b w:val="0"/>
          <w:lang w:eastAsia="fr-FR"/>
        </w:rPr>
      </w:pPr>
      <w:hyperlink w:anchor="_Toc425414599" w:history="1">
        <w:r w:rsidR="00F260FC" w:rsidRPr="005E7E5B">
          <w:rPr>
            <w:rStyle w:val="Lienhypertexte"/>
          </w:rPr>
          <w:t>V. Recommandations</w:t>
        </w:r>
        <w:r w:rsidR="00F260FC">
          <w:rPr>
            <w:webHidden/>
          </w:rPr>
          <w:tab/>
        </w:r>
        <w:r>
          <w:rPr>
            <w:webHidden/>
          </w:rPr>
          <w:fldChar w:fldCharType="begin"/>
        </w:r>
        <w:r w:rsidR="00F260FC">
          <w:rPr>
            <w:webHidden/>
          </w:rPr>
          <w:instrText xml:space="preserve"> PAGEREF _Toc425414599 \h </w:instrText>
        </w:r>
        <w:r>
          <w:rPr>
            <w:webHidden/>
          </w:rPr>
        </w:r>
        <w:r>
          <w:rPr>
            <w:webHidden/>
          </w:rPr>
          <w:fldChar w:fldCharType="separate"/>
        </w:r>
        <w:r w:rsidR="00F260FC">
          <w:rPr>
            <w:webHidden/>
          </w:rPr>
          <w:t>52</w:t>
        </w:r>
        <w:r>
          <w:rPr>
            <w:webHidden/>
          </w:rPr>
          <w:fldChar w:fldCharType="end"/>
        </w:r>
      </w:hyperlink>
    </w:p>
    <w:p w:rsidR="00F260FC" w:rsidRPr="00AD77C4" w:rsidRDefault="006D55EB" w:rsidP="00AD77C4">
      <w:pPr>
        <w:pStyle w:val="TM1"/>
        <w:rPr>
          <w:rStyle w:val="Lienhypertexte"/>
        </w:rPr>
      </w:pPr>
      <w:hyperlink w:anchor="_Toc425414606" w:history="1">
        <w:r w:rsidR="00F260FC" w:rsidRPr="00AD77C4">
          <w:rPr>
            <w:rStyle w:val="Lienhypertexte"/>
          </w:rPr>
          <w:t>VI. Propositions relatives aux orientations futures favorisant les principaux objectifs</w:t>
        </w:r>
        <w:r w:rsidR="00F260FC" w:rsidRPr="00AD77C4">
          <w:rPr>
            <w:rStyle w:val="Lienhypertexte"/>
            <w:webHidden/>
          </w:rPr>
          <w:tab/>
        </w:r>
        <w:r w:rsidRPr="00AD77C4">
          <w:rPr>
            <w:rStyle w:val="Lienhypertexte"/>
            <w:webHidden/>
          </w:rPr>
          <w:fldChar w:fldCharType="begin"/>
        </w:r>
        <w:r w:rsidR="00F260FC" w:rsidRPr="00AD77C4">
          <w:rPr>
            <w:rStyle w:val="Lienhypertexte"/>
            <w:webHidden/>
          </w:rPr>
          <w:instrText xml:space="preserve"> PAGEREF _Toc425414606 \h </w:instrText>
        </w:r>
        <w:r w:rsidRPr="00AD77C4">
          <w:rPr>
            <w:rStyle w:val="Lienhypertexte"/>
            <w:webHidden/>
          </w:rPr>
        </w:r>
        <w:r w:rsidRPr="00AD77C4">
          <w:rPr>
            <w:rStyle w:val="Lienhypertexte"/>
            <w:webHidden/>
          </w:rPr>
          <w:fldChar w:fldCharType="separate"/>
        </w:r>
        <w:r w:rsidR="00F260FC" w:rsidRPr="00AD77C4">
          <w:rPr>
            <w:rStyle w:val="Lienhypertexte"/>
            <w:webHidden/>
          </w:rPr>
          <w:t>53</w:t>
        </w:r>
        <w:r w:rsidRPr="00AD77C4">
          <w:rPr>
            <w:rStyle w:val="Lienhypertexte"/>
            <w:webHidden/>
          </w:rPr>
          <w:fldChar w:fldCharType="end"/>
        </w:r>
      </w:hyperlink>
    </w:p>
    <w:p w:rsidR="00F260FC" w:rsidRDefault="006D55EB">
      <w:pPr>
        <w:pStyle w:val="TM1"/>
        <w:rPr>
          <w:rFonts w:eastAsiaTheme="minorEastAsia" w:cstheme="minorBidi"/>
          <w:b w:val="0"/>
          <w:lang w:eastAsia="fr-FR"/>
        </w:rPr>
      </w:pPr>
      <w:hyperlink w:anchor="_Toc425414610" w:history="1">
        <w:r w:rsidR="00F260FC" w:rsidRPr="005E7E5B">
          <w:rPr>
            <w:rStyle w:val="Lienhypertexte"/>
          </w:rPr>
          <w:t>V</w:t>
        </w:r>
        <w:r w:rsidR="001678FA">
          <w:rPr>
            <w:rStyle w:val="Lienhypertexte"/>
          </w:rPr>
          <w:t>II</w:t>
        </w:r>
        <w:r w:rsidR="00F260FC" w:rsidRPr="005E7E5B">
          <w:rPr>
            <w:rStyle w:val="Lienhypertexte"/>
          </w:rPr>
          <w:t>. Annexes</w:t>
        </w:r>
        <w:r w:rsidR="00F260FC">
          <w:rPr>
            <w:webHidden/>
          </w:rPr>
          <w:tab/>
        </w:r>
        <w:r>
          <w:rPr>
            <w:webHidden/>
          </w:rPr>
          <w:fldChar w:fldCharType="begin"/>
        </w:r>
        <w:r w:rsidR="00F260FC">
          <w:rPr>
            <w:webHidden/>
          </w:rPr>
          <w:instrText xml:space="preserve"> PAGEREF _Toc425414610 \h </w:instrText>
        </w:r>
        <w:r>
          <w:rPr>
            <w:webHidden/>
          </w:rPr>
        </w:r>
        <w:r>
          <w:rPr>
            <w:webHidden/>
          </w:rPr>
          <w:fldChar w:fldCharType="separate"/>
        </w:r>
        <w:r w:rsidR="00F260FC">
          <w:rPr>
            <w:webHidden/>
          </w:rPr>
          <w:t>54</w:t>
        </w:r>
        <w:r>
          <w:rPr>
            <w:webHidden/>
          </w:rPr>
          <w:fldChar w:fldCharType="end"/>
        </w:r>
      </w:hyperlink>
    </w:p>
    <w:p w:rsidR="00F260FC" w:rsidRDefault="006D55EB">
      <w:pPr>
        <w:pStyle w:val="TM2"/>
        <w:tabs>
          <w:tab w:val="right" w:leader="dot" w:pos="9062"/>
        </w:tabs>
        <w:rPr>
          <w:rFonts w:eastAsiaTheme="minorEastAsia"/>
          <w:noProof/>
          <w:lang w:eastAsia="fr-FR"/>
        </w:rPr>
      </w:pPr>
      <w:hyperlink w:anchor="_Toc425414611" w:history="1">
        <w:r w:rsidR="00F260FC" w:rsidRPr="005E7E5B">
          <w:rPr>
            <w:rStyle w:val="Lienhypertexte"/>
            <w:rFonts w:cs="Wingdings-Regular"/>
            <w:noProof/>
          </w:rPr>
          <w:t xml:space="preserve">Annexe 1 </w:t>
        </w:r>
        <w:r w:rsidR="00F260FC" w:rsidRPr="005E7E5B">
          <w:rPr>
            <w:rStyle w:val="Lienhypertexte"/>
            <w:rFonts w:cs="ACaslonPro-Regular"/>
            <w:noProof/>
          </w:rPr>
          <w:t>Termes de Références</w:t>
        </w:r>
        <w:r w:rsidR="00F260FC">
          <w:rPr>
            <w:noProof/>
            <w:webHidden/>
          </w:rPr>
          <w:tab/>
        </w:r>
        <w:r>
          <w:rPr>
            <w:noProof/>
            <w:webHidden/>
          </w:rPr>
          <w:fldChar w:fldCharType="begin"/>
        </w:r>
        <w:r w:rsidR="00F260FC">
          <w:rPr>
            <w:noProof/>
            <w:webHidden/>
          </w:rPr>
          <w:instrText xml:space="preserve"> PAGEREF _Toc425414611 \h </w:instrText>
        </w:r>
        <w:r>
          <w:rPr>
            <w:noProof/>
            <w:webHidden/>
          </w:rPr>
        </w:r>
        <w:r>
          <w:rPr>
            <w:noProof/>
            <w:webHidden/>
          </w:rPr>
          <w:fldChar w:fldCharType="separate"/>
        </w:r>
        <w:r w:rsidR="00F260FC">
          <w:rPr>
            <w:noProof/>
            <w:webHidden/>
          </w:rPr>
          <w:t>54</w:t>
        </w:r>
        <w:r>
          <w:rPr>
            <w:noProof/>
            <w:webHidden/>
          </w:rPr>
          <w:fldChar w:fldCharType="end"/>
        </w:r>
      </w:hyperlink>
    </w:p>
    <w:p w:rsidR="00F260FC" w:rsidRDefault="006D55EB">
      <w:pPr>
        <w:pStyle w:val="TM2"/>
        <w:tabs>
          <w:tab w:val="right" w:leader="dot" w:pos="9062"/>
        </w:tabs>
        <w:rPr>
          <w:rFonts w:eastAsiaTheme="minorEastAsia"/>
          <w:noProof/>
          <w:lang w:eastAsia="fr-FR"/>
        </w:rPr>
      </w:pPr>
      <w:hyperlink w:anchor="_Toc425414612" w:history="1">
        <w:r w:rsidR="00F260FC" w:rsidRPr="005E7E5B">
          <w:rPr>
            <w:rStyle w:val="Lienhypertexte"/>
            <w:rFonts w:cs="ACaslonPro-Regular"/>
            <w:noProof/>
          </w:rPr>
          <w:t>Annexe 2 Liste des personnes interrogées</w:t>
        </w:r>
        <w:r w:rsidR="00F260FC">
          <w:rPr>
            <w:noProof/>
            <w:webHidden/>
          </w:rPr>
          <w:tab/>
        </w:r>
        <w:r>
          <w:rPr>
            <w:noProof/>
            <w:webHidden/>
          </w:rPr>
          <w:fldChar w:fldCharType="begin"/>
        </w:r>
        <w:r w:rsidR="00F260FC">
          <w:rPr>
            <w:noProof/>
            <w:webHidden/>
          </w:rPr>
          <w:instrText xml:space="preserve"> PAGEREF _Toc425414612 \h </w:instrText>
        </w:r>
        <w:r>
          <w:rPr>
            <w:noProof/>
            <w:webHidden/>
          </w:rPr>
        </w:r>
        <w:r>
          <w:rPr>
            <w:noProof/>
            <w:webHidden/>
          </w:rPr>
          <w:fldChar w:fldCharType="separate"/>
        </w:r>
        <w:r w:rsidR="00F260FC">
          <w:rPr>
            <w:noProof/>
            <w:webHidden/>
          </w:rPr>
          <w:t>54</w:t>
        </w:r>
        <w:r>
          <w:rPr>
            <w:noProof/>
            <w:webHidden/>
          </w:rPr>
          <w:fldChar w:fldCharType="end"/>
        </w:r>
      </w:hyperlink>
    </w:p>
    <w:p w:rsidR="00F260FC" w:rsidRDefault="006D55EB">
      <w:pPr>
        <w:pStyle w:val="TM2"/>
        <w:tabs>
          <w:tab w:val="right" w:leader="dot" w:pos="9062"/>
        </w:tabs>
        <w:rPr>
          <w:rFonts w:eastAsiaTheme="minorEastAsia"/>
          <w:noProof/>
          <w:lang w:eastAsia="fr-FR"/>
        </w:rPr>
      </w:pPr>
      <w:hyperlink w:anchor="_Toc425414613" w:history="1">
        <w:r w:rsidR="00F260FC" w:rsidRPr="005E7E5B">
          <w:rPr>
            <w:rStyle w:val="Lienhypertexte"/>
            <w:rFonts w:cs="Calibri"/>
            <w:noProof/>
          </w:rPr>
          <w:t>Annexe 3</w:t>
        </w:r>
        <w:r w:rsidR="00F260FC" w:rsidRPr="005E7E5B">
          <w:rPr>
            <w:rStyle w:val="Lienhypertexte"/>
            <w:rFonts w:cs="ACaslonPro-Regular"/>
            <w:noProof/>
          </w:rPr>
          <w:t>Liste des documents examinés</w:t>
        </w:r>
        <w:r w:rsidR="00F260FC">
          <w:rPr>
            <w:noProof/>
            <w:webHidden/>
          </w:rPr>
          <w:tab/>
        </w:r>
        <w:r>
          <w:rPr>
            <w:noProof/>
            <w:webHidden/>
          </w:rPr>
          <w:fldChar w:fldCharType="begin"/>
        </w:r>
        <w:r w:rsidR="00F260FC">
          <w:rPr>
            <w:noProof/>
            <w:webHidden/>
          </w:rPr>
          <w:instrText xml:space="preserve"> PAGEREF _Toc425414613 \h </w:instrText>
        </w:r>
        <w:r>
          <w:rPr>
            <w:noProof/>
            <w:webHidden/>
          </w:rPr>
        </w:r>
        <w:r>
          <w:rPr>
            <w:noProof/>
            <w:webHidden/>
          </w:rPr>
          <w:fldChar w:fldCharType="separate"/>
        </w:r>
        <w:r w:rsidR="00F260FC">
          <w:rPr>
            <w:noProof/>
            <w:webHidden/>
          </w:rPr>
          <w:t>54</w:t>
        </w:r>
        <w:r>
          <w:rPr>
            <w:noProof/>
            <w:webHidden/>
          </w:rPr>
          <w:fldChar w:fldCharType="end"/>
        </w:r>
      </w:hyperlink>
    </w:p>
    <w:p w:rsidR="00F260FC" w:rsidRDefault="006D55EB">
      <w:pPr>
        <w:pStyle w:val="TM2"/>
        <w:tabs>
          <w:tab w:val="right" w:leader="dot" w:pos="9062"/>
        </w:tabs>
        <w:rPr>
          <w:rFonts w:eastAsiaTheme="minorEastAsia"/>
          <w:noProof/>
          <w:lang w:eastAsia="fr-FR"/>
        </w:rPr>
      </w:pPr>
      <w:hyperlink w:anchor="_Toc425414614" w:history="1">
        <w:r w:rsidR="00F260FC" w:rsidRPr="005E7E5B">
          <w:rPr>
            <w:rStyle w:val="Lienhypertexte"/>
            <w:rFonts w:cs="ACaslonPro-Regular"/>
            <w:noProof/>
          </w:rPr>
          <w:t>Annexe 4 Tableau des questions d’évaluation</w:t>
        </w:r>
        <w:r w:rsidR="00F260FC">
          <w:rPr>
            <w:noProof/>
            <w:webHidden/>
          </w:rPr>
          <w:tab/>
        </w:r>
        <w:r>
          <w:rPr>
            <w:noProof/>
            <w:webHidden/>
          </w:rPr>
          <w:fldChar w:fldCharType="begin"/>
        </w:r>
        <w:r w:rsidR="00F260FC">
          <w:rPr>
            <w:noProof/>
            <w:webHidden/>
          </w:rPr>
          <w:instrText xml:space="preserve"> PAGEREF _Toc425414614 \h </w:instrText>
        </w:r>
        <w:r>
          <w:rPr>
            <w:noProof/>
            <w:webHidden/>
          </w:rPr>
        </w:r>
        <w:r>
          <w:rPr>
            <w:noProof/>
            <w:webHidden/>
          </w:rPr>
          <w:fldChar w:fldCharType="separate"/>
        </w:r>
        <w:r w:rsidR="00F260FC">
          <w:rPr>
            <w:noProof/>
            <w:webHidden/>
          </w:rPr>
          <w:t>54</w:t>
        </w:r>
        <w:r>
          <w:rPr>
            <w:noProof/>
            <w:webHidden/>
          </w:rPr>
          <w:fldChar w:fldCharType="end"/>
        </w:r>
      </w:hyperlink>
    </w:p>
    <w:p w:rsidR="00F260FC" w:rsidRDefault="006D55EB">
      <w:pPr>
        <w:pStyle w:val="TM2"/>
        <w:tabs>
          <w:tab w:val="right" w:leader="dot" w:pos="9062"/>
        </w:tabs>
        <w:rPr>
          <w:rFonts w:eastAsiaTheme="minorEastAsia"/>
          <w:noProof/>
          <w:lang w:eastAsia="fr-FR"/>
        </w:rPr>
      </w:pPr>
      <w:hyperlink w:anchor="_Toc425414615" w:history="1">
        <w:r w:rsidR="00F260FC" w:rsidRPr="005E7E5B">
          <w:rPr>
            <w:rStyle w:val="Lienhypertexte"/>
            <w:rFonts w:cs="ACaslonPro-Regular"/>
            <w:noProof/>
          </w:rPr>
          <w:t>Annexe 5 Questionnaire utilisé</w:t>
        </w:r>
        <w:r w:rsidR="00F260FC">
          <w:rPr>
            <w:noProof/>
            <w:webHidden/>
          </w:rPr>
          <w:tab/>
        </w:r>
        <w:r>
          <w:rPr>
            <w:noProof/>
            <w:webHidden/>
          </w:rPr>
          <w:fldChar w:fldCharType="begin"/>
        </w:r>
        <w:r w:rsidR="00F260FC">
          <w:rPr>
            <w:noProof/>
            <w:webHidden/>
          </w:rPr>
          <w:instrText xml:space="preserve"> PAGEREF _Toc425414615 \h </w:instrText>
        </w:r>
        <w:r>
          <w:rPr>
            <w:noProof/>
            <w:webHidden/>
          </w:rPr>
        </w:r>
        <w:r>
          <w:rPr>
            <w:noProof/>
            <w:webHidden/>
          </w:rPr>
          <w:fldChar w:fldCharType="separate"/>
        </w:r>
        <w:r w:rsidR="00F260FC">
          <w:rPr>
            <w:noProof/>
            <w:webHidden/>
          </w:rPr>
          <w:t>54</w:t>
        </w:r>
        <w:r>
          <w:rPr>
            <w:noProof/>
            <w:webHidden/>
          </w:rPr>
          <w:fldChar w:fldCharType="end"/>
        </w:r>
      </w:hyperlink>
    </w:p>
    <w:p w:rsidR="00F260FC" w:rsidRDefault="006D55EB">
      <w:pPr>
        <w:pStyle w:val="TM2"/>
        <w:tabs>
          <w:tab w:val="right" w:leader="dot" w:pos="9062"/>
        </w:tabs>
        <w:rPr>
          <w:rFonts w:eastAsiaTheme="minorEastAsia"/>
          <w:noProof/>
          <w:lang w:eastAsia="fr-FR"/>
        </w:rPr>
      </w:pPr>
      <w:hyperlink w:anchor="_Toc425414616" w:history="1">
        <w:r w:rsidR="00F260FC" w:rsidRPr="005E7E5B">
          <w:rPr>
            <w:rStyle w:val="Lienhypertexte"/>
            <w:rFonts w:cs="ACaslonPro-Regular"/>
            <w:noProof/>
          </w:rPr>
          <w:t>Annexe 6 Résumé des entretiens</w:t>
        </w:r>
        <w:r w:rsidR="00F260FC">
          <w:rPr>
            <w:noProof/>
            <w:webHidden/>
          </w:rPr>
          <w:tab/>
        </w:r>
        <w:r>
          <w:rPr>
            <w:noProof/>
            <w:webHidden/>
          </w:rPr>
          <w:fldChar w:fldCharType="begin"/>
        </w:r>
        <w:r w:rsidR="00F260FC">
          <w:rPr>
            <w:noProof/>
            <w:webHidden/>
          </w:rPr>
          <w:instrText xml:space="preserve"> PAGEREF _Toc425414616 \h </w:instrText>
        </w:r>
        <w:r>
          <w:rPr>
            <w:noProof/>
            <w:webHidden/>
          </w:rPr>
        </w:r>
        <w:r>
          <w:rPr>
            <w:noProof/>
            <w:webHidden/>
          </w:rPr>
          <w:fldChar w:fldCharType="separate"/>
        </w:r>
        <w:r w:rsidR="00F260FC">
          <w:rPr>
            <w:noProof/>
            <w:webHidden/>
          </w:rPr>
          <w:t>54</w:t>
        </w:r>
        <w:r>
          <w:rPr>
            <w:noProof/>
            <w:webHidden/>
          </w:rPr>
          <w:fldChar w:fldCharType="end"/>
        </w:r>
      </w:hyperlink>
    </w:p>
    <w:p w:rsidR="00F260FC" w:rsidRDefault="006D55EB">
      <w:pPr>
        <w:pStyle w:val="TM2"/>
        <w:tabs>
          <w:tab w:val="right" w:leader="dot" w:pos="9062"/>
        </w:tabs>
        <w:rPr>
          <w:rFonts w:eastAsiaTheme="minorEastAsia"/>
          <w:noProof/>
          <w:lang w:eastAsia="fr-FR"/>
        </w:rPr>
      </w:pPr>
      <w:hyperlink w:anchor="_Toc425414617" w:history="1">
        <w:r w:rsidR="00F260FC" w:rsidRPr="005E7E5B">
          <w:rPr>
            <w:rStyle w:val="Lienhypertexte"/>
            <w:rFonts w:cs="ACaslonPro-Regular"/>
            <w:noProof/>
          </w:rPr>
          <w:t>Annexe 7 Formulaire d’acceptation du code de conduite du consultant en évaluation</w:t>
        </w:r>
        <w:r w:rsidR="00F260FC">
          <w:rPr>
            <w:noProof/>
            <w:webHidden/>
          </w:rPr>
          <w:tab/>
        </w:r>
        <w:r>
          <w:rPr>
            <w:noProof/>
            <w:webHidden/>
          </w:rPr>
          <w:fldChar w:fldCharType="begin"/>
        </w:r>
        <w:r w:rsidR="00F260FC">
          <w:rPr>
            <w:noProof/>
            <w:webHidden/>
          </w:rPr>
          <w:instrText xml:space="preserve"> PAGEREF _Toc425414617 \h </w:instrText>
        </w:r>
        <w:r>
          <w:rPr>
            <w:noProof/>
            <w:webHidden/>
          </w:rPr>
        </w:r>
        <w:r>
          <w:rPr>
            <w:noProof/>
            <w:webHidden/>
          </w:rPr>
          <w:fldChar w:fldCharType="separate"/>
        </w:r>
        <w:r w:rsidR="00F260FC">
          <w:rPr>
            <w:noProof/>
            <w:webHidden/>
          </w:rPr>
          <w:t>54</w:t>
        </w:r>
        <w:r>
          <w:rPr>
            <w:noProof/>
            <w:webHidden/>
          </w:rPr>
          <w:fldChar w:fldCharType="end"/>
        </w:r>
      </w:hyperlink>
    </w:p>
    <w:p w:rsidR="00F260FC" w:rsidRDefault="006D55EB">
      <w:pPr>
        <w:pStyle w:val="TM2"/>
        <w:tabs>
          <w:tab w:val="right" w:leader="dot" w:pos="9062"/>
        </w:tabs>
        <w:rPr>
          <w:rFonts w:eastAsiaTheme="minorEastAsia"/>
          <w:noProof/>
          <w:lang w:eastAsia="fr-FR"/>
        </w:rPr>
      </w:pPr>
      <w:hyperlink w:anchor="_Toc425414618" w:history="1">
        <w:r w:rsidR="00F260FC" w:rsidRPr="005E7E5B">
          <w:rPr>
            <w:rStyle w:val="Lienhypertexte"/>
            <w:rFonts w:cs="ACaslonPro-Regular"/>
            <w:noProof/>
          </w:rPr>
          <w:t>Annexe 8 Liste des commentaires sur le rapport de l’évaluation finale</w:t>
        </w:r>
        <w:r w:rsidR="00F260FC">
          <w:rPr>
            <w:noProof/>
            <w:webHidden/>
          </w:rPr>
          <w:tab/>
        </w:r>
        <w:r>
          <w:rPr>
            <w:noProof/>
            <w:webHidden/>
          </w:rPr>
          <w:fldChar w:fldCharType="begin"/>
        </w:r>
        <w:r w:rsidR="00F260FC">
          <w:rPr>
            <w:noProof/>
            <w:webHidden/>
          </w:rPr>
          <w:instrText xml:space="preserve"> PAGEREF _Toc425414618 \h </w:instrText>
        </w:r>
        <w:r>
          <w:rPr>
            <w:noProof/>
            <w:webHidden/>
          </w:rPr>
        </w:r>
        <w:r>
          <w:rPr>
            <w:noProof/>
            <w:webHidden/>
          </w:rPr>
          <w:fldChar w:fldCharType="separate"/>
        </w:r>
        <w:r w:rsidR="00F260FC">
          <w:rPr>
            <w:noProof/>
            <w:webHidden/>
          </w:rPr>
          <w:t>54</w:t>
        </w:r>
        <w:r>
          <w:rPr>
            <w:noProof/>
            <w:webHidden/>
          </w:rPr>
          <w:fldChar w:fldCharType="end"/>
        </w:r>
      </w:hyperlink>
    </w:p>
    <w:p w:rsidR="00F260FC" w:rsidRDefault="006D55EB">
      <w:pPr>
        <w:pStyle w:val="TM2"/>
        <w:tabs>
          <w:tab w:val="right" w:leader="dot" w:pos="9062"/>
        </w:tabs>
        <w:rPr>
          <w:rFonts w:eastAsiaTheme="minorEastAsia"/>
          <w:noProof/>
          <w:lang w:eastAsia="fr-FR"/>
        </w:rPr>
      </w:pPr>
      <w:hyperlink w:anchor="_Toc425414619" w:history="1">
        <w:r w:rsidR="00F260FC" w:rsidRPr="005E7E5B">
          <w:rPr>
            <w:rStyle w:val="Lienhypertexte"/>
            <w:rFonts w:cs="ACaslonPro-Regular"/>
            <w:noProof/>
          </w:rPr>
          <w:t>Annexe 9 Itinéraire de la mission d’évaluation finale</w:t>
        </w:r>
        <w:r w:rsidR="00F260FC">
          <w:rPr>
            <w:noProof/>
            <w:webHidden/>
          </w:rPr>
          <w:tab/>
        </w:r>
        <w:r>
          <w:rPr>
            <w:noProof/>
            <w:webHidden/>
          </w:rPr>
          <w:fldChar w:fldCharType="begin"/>
        </w:r>
        <w:r w:rsidR="00F260FC">
          <w:rPr>
            <w:noProof/>
            <w:webHidden/>
          </w:rPr>
          <w:instrText xml:space="preserve"> PAGEREF _Toc425414619 \h </w:instrText>
        </w:r>
        <w:r>
          <w:rPr>
            <w:noProof/>
            <w:webHidden/>
          </w:rPr>
        </w:r>
        <w:r>
          <w:rPr>
            <w:noProof/>
            <w:webHidden/>
          </w:rPr>
          <w:fldChar w:fldCharType="separate"/>
        </w:r>
        <w:r w:rsidR="00F260FC">
          <w:rPr>
            <w:noProof/>
            <w:webHidden/>
          </w:rPr>
          <w:t>54</w:t>
        </w:r>
        <w:r>
          <w:rPr>
            <w:noProof/>
            <w:webHidden/>
          </w:rPr>
          <w:fldChar w:fldCharType="end"/>
        </w:r>
      </w:hyperlink>
    </w:p>
    <w:p w:rsidR="005F317A" w:rsidRPr="005F317A" w:rsidRDefault="006D55EB" w:rsidP="00923EA9">
      <w:pPr>
        <w:autoSpaceDE w:val="0"/>
        <w:autoSpaceDN w:val="0"/>
        <w:adjustRightInd w:val="0"/>
        <w:spacing w:line="240" w:lineRule="auto"/>
        <w:ind w:left="220"/>
        <w:rPr>
          <w:rFonts w:ascii="Calibri" w:hAnsi="Calibri" w:cs="Calibri"/>
        </w:rPr>
        <w:sectPr w:rsidR="005F317A" w:rsidRPr="005F317A" w:rsidSect="00511D1F">
          <w:pgSz w:w="11906" w:h="16838"/>
          <w:pgMar w:top="1417" w:right="1417" w:bottom="1417" w:left="1417" w:header="708" w:footer="708" w:gutter="0"/>
          <w:pgNumType w:fmt="lowerRoman"/>
          <w:cols w:space="708"/>
          <w:docGrid w:linePitch="360"/>
        </w:sectPr>
      </w:pPr>
      <w:r>
        <w:rPr>
          <w:rFonts w:ascii="Calibri" w:hAnsi="Calibri" w:cs="Calibri"/>
        </w:rPr>
        <w:fldChar w:fldCharType="end"/>
      </w:r>
    </w:p>
    <w:p w:rsidR="00AD1A5C" w:rsidRPr="005E04CA" w:rsidRDefault="00AD1A5C" w:rsidP="005E04CA">
      <w:pPr>
        <w:pStyle w:val="Titre1"/>
        <w:spacing w:before="0"/>
        <w:rPr>
          <w:rFonts w:asciiTheme="minorHAnsi" w:hAnsiTheme="minorHAnsi" w:cs="MyriadPro-Bold"/>
          <w:bCs w:val="0"/>
          <w:color w:val="000000"/>
          <w:sz w:val="22"/>
          <w:szCs w:val="22"/>
        </w:rPr>
      </w:pPr>
      <w:bookmarkStart w:id="0" w:name="_Toc425414545"/>
      <w:r w:rsidRPr="005E04CA">
        <w:rPr>
          <w:rFonts w:asciiTheme="minorHAnsi" w:hAnsiTheme="minorHAnsi" w:cs="MyriadPro-Bold"/>
          <w:bCs w:val="0"/>
          <w:color w:val="000000"/>
          <w:sz w:val="22"/>
          <w:szCs w:val="22"/>
        </w:rPr>
        <w:lastRenderedPageBreak/>
        <w:t>Résumé</w:t>
      </w:r>
      <w:bookmarkEnd w:id="0"/>
    </w:p>
    <w:p w:rsidR="005F317A" w:rsidRPr="005E04CA" w:rsidRDefault="005F317A" w:rsidP="005E04CA">
      <w:pPr>
        <w:pStyle w:val="Titre2"/>
        <w:spacing w:before="0"/>
        <w:rPr>
          <w:rFonts w:asciiTheme="minorHAnsi" w:hAnsiTheme="minorHAnsi" w:cs="MyriadPro-Bold"/>
          <w:bCs w:val="0"/>
          <w:color w:val="000000"/>
          <w:sz w:val="22"/>
          <w:szCs w:val="22"/>
        </w:rPr>
      </w:pPr>
      <w:bookmarkStart w:id="1" w:name="_Toc425414546"/>
      <w:r w:rsidRPr="005E04CA">
        <w:rPr>
          <w:rFonts w:asciiTheme="minorHAnsi" w:hAnsiTheme="minorHAnsi" w:cs="MyriadPro-Bold"/>
          <w:bCs w:val="0"/>
          <w:color w:val="000000"/>
          <w:sz w:val="22"/>
          <w:szCs w:val="22"/>
        </w:rPr>
        <w:t>Tableau de résumé du projet</w:t>
      </w:r>
      <w:bookmarkEnd w:id="1"/>
    </w:p>
    <w:p w:rsidR="00440BC4" w:rsidRDefault="00440BC4" w:rsidP="00AD1A5C">
      <w:pPr>
        <w:autoSpaceDE w:val="0"/>
        <w:autoSpaceDN w:val="0"/>
        <w:adjustRightInd w:val="0"/>
        <w:spacing w:after="0" w:line="240" w:lineRule="auto"/>
        <w:rPr>
          <w:rFonts w:ascii="Calibri" w:hAnsi="Calibri" w:cs="Calibri"/>
          <w:color w:val="949699"/>
        </w:rPr>
      </w:pPr>
    </w:p>
    <w:tbl>
      <w:tblPr>
        <w:tblStyle w:val="Grilledutableau"/>
        <w:tblW w:w="0" w:type="auto"/>
        <w:tblLook w:val="04A0"/>
      </w:tblPr>
      <w:tblGrid>
        <w:gridCol w:w="2093"/>
        <w:gridCol w:w="2126"/>
        <w:gridCol w:w="2552"/>
        <w:gridCol w:w="2268"/>
      </w:tblGrid>
      <w:tr w:rsidR="00ED492C" w:rsidRPr="00E842EB" w:rsidTr="00ED492C">
        <w:tc>
          <w:tcPr>
            <w:tcW w:w="2093" w:type="dxa"/>
            <w:shd w:val="clear" w:color="auto" w:fill="D9D9D9" w:themeFill="background1" w:themeFillShade="D9"/>
          </w:tcPr>
          <w:p w:rsidR="00ED492C" w:rsidRPr="00E842EB" w:rsidRDefault="00ED492C" w:rsidP="00AD1A5C">
            <w:pPr>
              <w:autoSpaceDE w:val="0"/>
              <w:autoSpaceDN w:val="0"/>
              <w:adjustRightInd w:val="0"/>
              <w:rPr>
                <w:rFonts w:ascii="Calibri" w:hAnsi="Calibri" w:cs="Calibri"/>
                <w:sz w:val="20"/>
                <w:szCs w:val="20"/>
              </w:rPr>
            </w:pPr>
            <w:r w:rsidRPr="00E842EB">
              <w:rPr>
                <w:rFonts w:ascii="Calibri" w:hAnsi="Calibri" w:cs="Calibri"/>
                <w:sz w:val="20"/>
                <w:szCs w:val="20"/>
              </w:rPr>
              <w:t>Titre du projet</w:t>
            </w:r>
          </w:p>
        </w:tc>
        <w:tc>
          <w:tcPr>
            <w:tcW w:w="6946" w:type="dxa"/>
            <w:gridSpan w:val="3"/>
          </w:tcPr>
          <w:p w:rsidR="00ED492C" w:rsidRPr="00E842EB" w:rsidRDefault="00ED492C" w:rsidP="00ED492C">
            <w:pPr>
              <w:autoSpaceDE w:val="0"/>
              <w:autoSpaceDN w:val="0"/>
              <w:adjustRightInd w:val="0"/>
              <w:jc w:val="both"/>
              <w:rPr>
                <w:rFonts w:ascii="Calibri" w:hAnsi="Calibri" w:cs="Calibri"/>
                <w:sz w:val="20"/>
                <w:szCs w:val="20"/>
              </w:rPr>
            </w:pPr>
            <w:r w:rsidRPr="00E842EB">
              <w:rPr>
                <w:rFonts w:ascii="Calibri" w:hAnsi="Calibri" w:cs="Calibri"/>
                <w:sz w:val="20"/>
                <w:szCs w:val="20"/>
              </w:rPr>
              <w:t>Projet d’intégration des aspects de l’environnement mondial dans les processus de planification stratégique locale et de suivi de l’Initiative Nationale pour le Développement Humain (INDH) au Maroc</w:t>
            </w:r>
          </w:p>
        </w:tc>
      </w:tr>
      <w:tr w:rsidR="00E842EB" w:rsidRPr="00E842EB" w:rsidTr="00ED492C">
        <w:tc>
          <w:tcPr>
            <w:tcW w:w="2093" w:type="dxa"/>
            <w:shd w:val="clear" w:color="auto" w:fill="D9D9D9" w:themeFill="background1" w:themeFillShade="D9"/>
          </w:tcPr>
          <w:p w:rsidR="00E842EB" w:rsidRPr="00E842EB" w:rsidRDefault="00E842EB" w:rsidP="00AD1A5C">
            <w:pPr>
              <w:autoSpaceDE w:val="0"/>
              <w:autoSpaceDN w:val="0"/>
              <w:adjustRightInd w:val="0"/>
              <w:rPr>
                <w:rFonts w:ascii="Calibri" w:hAnsi="Calibri" w:cs="Calibri"/>
                <w:sz w:val="20"/>
                <w:szCs w:val="20"/>
              </w:rPr>
            </w:pPr>
            <w:r w:rsidRPr="00E842EB">
              <w:rPr>
                <w:rFonts w:ascii="Calibri" w:hAnsi="Calibri" w:cs="Calibri"/>
                <w:sz w:val="20"/>
                <w:szCs w:val="20"/>
              </w:rPr>
              <w:t>ID de projet du FEM</w:t>
            </w:r>
          </w:p>
        </w:tc>
        <w:tc>
          <w:tcPr>
            <w:tcW w:w="2126" w:type="dxa"/>
          </w:tcPr>
          <w:p w:rsidR="00E842EB" w:rsidRPr="00E842EB" w:rsidRDefault="00E842EB" w:rsidP="00AD1A5C">
            <w:pPr>
              <w:autoSpaceDE w:val="0"/>
              <w:autoSpaceDN w:val="0"/>
              <w:adjustRightInd w:val="0"/>
              <w:rPr>
                <w:rFonts w:ascii="Calibri" w:hAnsi="Calibri" w:cs="Calibri"/>
                <w:sz w:val="20"/>
                <w:szCs w:val="20"/>
              </w:rPr>
            </w:pPr>
            <w:r>
              <w:rPr>
                <w:rFonts w:ascii="Calibri" w:hAnsi="Calibri" w:cs="Calibri"/>
                <w:sz w:val="20"/>
                <w:szCs w:val="20"/>
              </w:rPr>
              <w:t>PIMS 3707</w:t>
            </w:r>
          </w:p>
        </w:tc>
        <w:tc>
          <w:tcPr>
            <w:tcW w:w="2552" w:type="dxa"/>
            <w:shd w:val="clear" w:color="auto" w:fill="D9D9D9" w:themeFill="background1" w:themeFillShade="D9"/>
          </w:tcPr>
          <w:p w:rsidR="00E842EB" w:rsidRPr="00E842EB" w:rsidRDefault="00ED492C" w:rsidP="00AD1A5C">
            <w:pPr>
              <w:autoSpaceDE w:val="0"/>
              <w:autoSpaceDN w:val="0"/>
              <w:adjustRightInd w:val="0"/>
              <w:rPr>
                <w:rFonts w:ascii="Calibri" w:hAnsi="Calibri" w:cs="Calibri"/>
                <w:sz w:val="20"/>
                <w:szCs w:val="20"/>
              </w:rPr>
            </w:pPr>
            <w:r>
              <w:rPr>
                <w:rFonts w:ascii="Calibri" w:hAnsi="Calibri" w:cs="Calibri"/>
                <w:sz w:val="20"/>
                <w:szCs w:val="20"/>
              </w:rPr>
              <w:t>Financement du projet</w:t>
            </w:r>
          </w:p>
        </w:tc>
        <w:tc>
          <w:tcPr>
            <w:tcW w:w="2268" w:type="dxa"/>
          </w:tcPr>
          <w:p w:rsidR="00E842EB" w:rsidRPr="00E842EB" w:rsidRDefault="00ED492C" w:rsidP="00AD1A5C">
            <w:pPr>
              <w:autoSpaceDE w:val="0"/>
              <w:autoSpaceDN w:val="0"/>
              <w:adjustRightInd w:val="0"/>
              <w:rPr>
                <w:rFonts w:ascii="Calibri" w:hAnsi="Calibri" w:cs="Calibri"/>
                <w:sz w:val="20"/>
                <w:szCs w:val="20"/>
              </w:rPr>
            </w:pPr>
            <w:r>
              <w:rPr>
                <w:rFonts w:ascii="Calibri" w:hAnsi="Calibri" w:cs="Calibri"/>
                <w:sz w:val="20"/>
                <w:szCs w:val="20"/>
              </w:rPr>
              <w:t>USD</w:t>
            </w:r>
          </w:p>
        </w:tc>
      </w:tr>
      <w:tr w:rsidR="00E842EB" w:rsidRPr="00E842EB" w:rsidTr="00ED492C">
        <w:tc>
          <w:tcPr>
            <w:tcW w:w="2093" w:type="dxa"/>
            <w:shd w:val="clear" w:color="auto" w:fill="D9D9D9" w:themeFill="background1" w:themeFillShade="D9"/>
          </w:tcPr>
          <w:p w:rsidR="00E842EB" w:rsidRPr="00E842EB" w:rsidRDefault="00E842EB" w:rsidP="00AD1A5C">
            <w:pPr>
              <w:autoSpaceDE w:val="0"/>
              <w:autoSpaceDN w:val="0"/>
              <w:adjustRightInd w:val="0"/>
              <w:rPr>
                <w:rFonts w:ascii="Calibri" w:hAnsi="Calibri" w:cs="Calibri"/>
                <w:sz w:val="20"/>
                <w:szCs w:val="20"/>
              </w:rPr>
            </w:pPr>
            <w:r w:rsidRPr="00E842EB">
              <w:rPr>
                <w:rFonts w:ascii="Calibri" w:hAnsi="Calibri" w:cs="Calibri"/>
                <w:sz w:val="20"/>
                <w:szCs w:val="20"/>
              </w:rPr>
              <w:t>ID du projet du PNUD</w:t>
            </w:r>
          </w:p>
        </w:tc>
        <w:tc>
          <w:tcPr>
            <w:tcW w:w="2126" w:type="dxa"/>
          </w:tcPr>
          <w:p w:rsidR="00E842EB" w:rsidRPr="00E842EB" w:rsidRDefault="00E842EB" w:rsidP="00AD1A5C">
            <w:pPr>
              <w:autoSpaceDE w:val="0"/>
              <w:autoSpaceDN w:val="0"/>
              <w:adjustRightInd w:val="0"/>
              <w:rPr>
                <w:rFonts w:ascii="Calibri" w:hAnsi="Calibri" w:cs="Calibri"/>
                <w:sz w:val="20"/>
                <w:szCs w:val="20"/>
              </w:rPr>
            </w:pPr>
            <w:r>
              <w:rPr>
                <w:rFonts w:ascii="Calibri" w:hAnsi="Calibri" w:cs="Calibri"/>
                <w:sz w:val="20"/>
                <w:szCs w:val="20"/>
              </w:rPr>
              <w:t>00062204</w:t>
            </w:r>
          </w:p>
        </w:tc>
        <w:tc>
          <w:tcPr>
            <w:tcW w:w="2552" w:type="dxa"/>
            <w:shd w:val="clear" w:color="auto" w:fill="D9D9D9" w:themeFill="background1" w:themeFillShade="D9"/>
          </w:tcPr>
          <w:p w:rsidR="00E842EB" w:rsidRPr="00E842EB" w:rsidRDefault="00ED492C" w:rsidP="00AD1A5C">
            <w:pPr>
              <w:autoSpaceDE w:val="0"/>
              <w:autoSpaceDN w:val="0"/>
              <w:adjustRightInd w:val="0"/>
              <w:rPr>
                <w:rFonts w:ascii="Calibri" w:hAnsi="Calibri" w:cs="Calibri"/>
                <w:sz w:val="20"/>
                <w:szCs w:val="20"/>
              </w:rPr>
            </w:pPr>
            <w:r>
              <w:rPr>
                <w:rFonts w:ascii="Calibri" w:hAnsi="Calibri" w:cs="Calibri"/>
                <w:sz w:val="20"/>
                <w:szCs w:val="20"/>
              </w:rPr>
              <w:t>FEM (don)</w:t>
            </w:r>
          </w:p>
        </w:tc>
        <w:tc>
          <w:tcPr>
            <w:tcW w:w="2268" w:type="dxa"/>
          </w:tcPr>
          <w:p w:rsidR="00E842EB" w:rsidRPr="00E842EB" w:rsidRDefault="00ED492C" w:rsidP="00AD1A5C">
            <w:pPr>
              <w:autoSpaceDE w:val="0"/>
              <w:autoSpaceDN w:val="0"/>
              <w:adjustRightInd w:val="0"/>
              <w:rPr>
                <w:rFonts w:ascii="Calibri" w:hAnsi="Calibri" w:cs="Calibri"/>
                <w:sz w:val="20"/>
                <w:szCs w:val="20"/>
              </w:rPr>
            </w:pPr>
            <w:r>
              <w:rPr>
                <w:rFonts w:ascii="Calibri" w:hAnsi="Calibri" w:cs="Calibri"/>
                <w:sz w:val="20"/>
                <w:szCs w:val="20"/>
              </w:rPr>
              <w:t>460 000,00</w:t>
            </w:r>
          </w:p>
        </w:tc>
      </w:tr>
      <w:tr w:rsidR="00E842EB" w:rsidRPr="00E842EB" w:rsidTr="00ED492C">
        <w:tc>
          <w:tcPr>
            <w:tcW w:w="2093" w:type="dxa"/>
            <w:shd w:val="clear" w:color="auto" w:fill="D9D9D9" w:themeFill="background1" w:themeFillShade="D9"/>
          </w:tcPr>
          <w:p w:rsidR="00E842EB" w:rsidRPr="00E842EB" w:rsidRDefault="00E842EB" w:rsidP="00AD1A5C">
            <w:pPr>
              <w:autoSpaceDE w:val="0"/>
              <w:autoSpaceDN w:val="0"/>
              <w:adjustRightInd w:val="0"/>
              <w:rPr>
                <w:rFonts w:ascii="Calibri" w:hAnsi="Calibri" w:cs="Calibri"/>
                <w:sz w:val="20"/>
                <w:szCs w:val="20"/>
              </w:rPr>
            </w:pPr>
            <w:r w:rsidRPr="00E842EB">
              <w:rPr>
                <w:rFonts w:ascii="Calibri" w:hAnsi="Calibri" w:cs="Calibri"/>
                <w:sz w:val="20"/>
                <w:szCs w:val="20"/>
              </w:rPr>
              <w:t>Pays</w:t>
            </w:r>
          </w:p>
        </w:tc>
        <w:tc>
          <w:tcPr>
            <w:tcW w:w="2126" w:type="dxa"/>
          </w:tcPr>
          <w:p w:rsidR="00E842EB" w:rsidRPr="00E842EB" w:rsidRDefault="00E842EB" w:rsidP="00AD1A5C">
            <w:pPr>
              <w:autoSpaceDE w:val="0"/>
              <w:autoSpaceDN w:val="0"/>
              <w:adjustRightInd w:val="0"/>
              <w:rPr>
                <w:rFonts w:ascii="Calibri" w:hAnsi="Calibri" w:cs="Calibri"/>
                <w:sz w:val="20"/>
                <w:szCs w:val="20"/>
              </w:rPr>
            </w:pPr>
            <w:r>
              <w:rPr>
                <w:rFonts w:ascii="Calibri" w:hAnsi="Calibri" w:cs="Calibri"/>
                <w:sz w:val="20"/>
                <w:szCs w:val="20"/>
              </w:rPr>
              <w:t>Maroc</w:t>
            </w:r>
          </w:p>
        </w:tc>
        <w:tc>
          <w:tcPr>
            <w:tcW w:w="2552" w:type="dxa"/>
            <w:shd w:val="clear" w:color="auto" w:fill="D9D9D9" w:themeFill="background1" w:themeFillShade="D9"/>
          </w:tcPr>
          <w:p w:rsidR="00E842EB" w:rsidRPr="00E842EB" w:rsidRDefault="00ED492C" w:rsidP="00AD1A5C">
            <w:pPr>
              <w:autoSpaceDE w:val="0"/>
              <w:autoSpaceDN w:val="0"/>
              <w:adjustRightInd w:val="0"/>
              <w:rPr>
                <w:rFonts w:ascii="Calibri" w:hAnsi="Calibri" w:cs="Calibri"/>
                <w:sz w:val="20"/>
                <w:szCs w:val="20"/>
              </w:rPr>
            </w:pPr>
            <w:r>
              <w:rPr>
                <w:rFonts w:ascii="Calibri" w:hAnsi="Calibri" w:cs="Calibri"/>
                <w:sz w:val="20"/>
                <w:szCs w:val="20"/>
              </w:rPr>
              <w:t>MI (nature)</w:t>
            </w:r>
          </w:p>
        </w:tc>
        <w:tc>
          <w:tcPr>
            <w:tcW w:w="2268" w:type="dxa"/>
          </w:tcPr>
          <w:p w:rsidR="00E842EB" w:rsidRPr="00E842EB" w:rsidRDefault="00ED492C" w:rsidP="00AD1A5C">
            <w:pPr>
              <w:autoSpaceDE w:val="0"/>
              <w:autoSpaceDN w:val="0"/>
              <w:adjustRightInd w:val="0"/>
              <w:rPr>
                <w:rFonts w:ascii="Calibri" w:hAnsi="Calibri" w:cs="Calibri"/>
                <w:sz w:val="20"/>
                <w:szCs w:val="20"/>
              </w:rPr>
            </w:pPr>
            <w:r>
              <w:rPr>
                <w:rFonts w:ascii="Calibri" w:hAnsi="Calibri" w:cs="Calibri"/>
                <w:sz w:val="20"/>
                <w:szCs w:val="20"/>
              </w:rPr>
              <w:t>50 000,00</w:t>
            </w:r>
          </w:p>
        </w:tc>
      </w:tr>
      <w:tr w:rsidR="00E842EB" w:rsidRPr="00E842EB" w:rsidTr="00ED492C">
        <w:tc>
          <w:tcPr>
            <w:tcW w:w="2093" w:type="dxa"/>
            <w:shd w:val="clear" w:color="auto" w:fill="D9D9D9" w:themeFill="background1" w:themeFillShade="D9"/>
          </w:tcPr>
          <w:p w:rsidR="00E842EB" w:rsidRPr="00E842EB" w:rsidRDefault="00E842EB" w:rsidP="00AD1A5C">
            <w:pPr>
              <w:autoSpaceDE w:val="0"/>
              <w:autoSpaceDN w:val="0"/>
              <w:adjustRightInd w:val="0"/>
              <w:rPr>
                <w:rFonts w:ascii="Calibri" w:hAnsi="Calibri" w:cs="Calibri"/>
                <w:sz w:val="20"/>
                <w:szCs w:val="20"/>
              </w:rPr>
            </w:pPr>
            <w:r w:rsidRPr="00E842EB">
              <w:rPr>
                <w:rFonts w:ascii="Calibri" w:hAnsi="Calibri" w:cs="Calibri"/>
                <w:sz w:val="20"/>
                <w:szCs w:val="20"/>
              </w:rPr>
              <w:t>Régions</w:t>
            </w:r>
          </w:p>
        </w:tc>
        <w:tc>
          <w:tcPr>
            <w:tcW w:w="2126" w:type="dxa"/>
          </w:tcPr>
          <w:p w:rsidR="00E842EB" w:rsidRPr="00E842EB" w:rsidRDefault="00E842EB" w:rsidP="00E842EB">
            <w:pPr>
              <w:autoSpaceDE w:val="0"/>
              <w:autoSpaceDN w:val="0"/>
              <w:adjustRightInd w:val="0"/>
              <w:rPr>
                <w:rFonts w:ascii="Calibri" w:hAnsi="Calibri" w:cs="Calibri"/>
                <w:sz w:val="20"/>
                <w:szCs w:val="20"/>
              </w:rPr>
            </w:pPr>
            <w:r w:rsidRPr="00E842EB">
              <w:rPr>
                <w:rFonts w:ascii="Calibri" w:hAnsi="Calibri" w:cs="Calibri"/>
                <w:sz w:val="20"/>
                <w:szCs w:val="20"/>
              </w:rPr>
              <w:t>Tanger-Tétouan</w:t>
            </w:r>
          </w:p>
          <w:p w:rsidR="00E842EB" w:rsidRPr="00E842EB" w:rsidRDefault="00E842EB" w:rsidP="00E842EB">
            <w:pPr>
              <w:autoSpaceDE w:val="0"/>
              <w:autoSpaceDN w:val="0"/>
              <w:adjustRightInd w:val="0"/>
              <w:rPr>
                <w:rFonts w:ascii="Calibri" w:hAnsi="Calibri" w:cs="Calibri"/>
                <w:sz w:val="20"/>
                <w:szCs w:val="20"/>
              </w:rPr>
            </w:pPr>
            <w:r w:rsidRPr="00E842EB">
              <w:rPr>
                <w:rFonts w:ascii="Calibri" w:hAnsi="Calibri" w:cs="Calibri"/>
                <w:sz w:val="20"/>
                <w:szCs w:val="20"/>
              </w:rPr>
              <w:t>Tadla-Azilal</w:t>
            </w:r>
          </w:p>
          <w:p w:rsidR="00E842EB" w:rsidRPr="00E842EB" w:rsidRDefault="00E842EB" w:rsidP="00E842EB">
            <w:pPr>
              <w:autoSpaceDE w:val="0"/>
              <w:autoSpaceDN w:val="0"/>
              <w:adjustRightInd w:val="0"/>
              <w:rPr>
                <w:rFonts w:ascii="Calibri" w:hAnsi="Calibri" w:cs="Calibri"/>
                <w:sz w:val="20"/>
                <w:szCs w:val="20"/>
              </w:rPr>
            </w:pPr>
            <w:r w:rsidRPr="00E842EB">
              <w:rPr>
                <w:rFonts w:ascii="Calibri" w:hAnsi="Calibri" w:cs="Calibri"/>
                <w:sz w:val="20"/>
                <w:szCs w:val="20"/>
              </w:rPr>
              <w:t>Souss-Massa-Draa</w:t>
            </w:r>
          </w:p>
        </w:tc>
        <w:tc>
          <w:tcPr>
            <w:tcW w:w="2552" w:type="dxa"/>
            <w:shd w:val="clear" w:color="auto" w:fill="D9D9D9" w:themeFill="background1" w:themeFillShade="D9"/>
          </w:tcPr>
          <w:p w:rsidR="00E842EB" w:rsidRPr="00E842EB" w:rsidRDefault="00ED492C" w:rsidP="00AD1A5C">
            <w:pPr>
              <w:autoSpaceDE w:val="0"/>
              <w:autoSpaceDN w:val="0"/>
              <w:adjustRightInd w:val="0"/>
              <w:rPr>
                <w:rFonts w:ascii="Calibri" w:hAnsi="Calibri" w:cs="Calibri"/>
                <w:sz w:val="20"/>
                <w:szCs w:val="20"/>
              </w:rPr>
            </w:pPr>
            <w:r>
              <w:rPr>
                <w:rFonts w:ascii="Calibri" w:hAnsi="Calibri" w:cs="Calibri"/>
                <w:sz w:val="20"/>
                <w:szCs w:val="20"/>
              </w:rPr>
              <w:t>MDCE (nature)</w:t>
            </w:r>
          </w:p>
        </w:tc>
        <w:tc>
          <w:tcPr>
            <w:tcW w:w="2268" w:type="dxa"/>
          </w:tcPr>
          <w:p w:rsidR="00E842EB" w:rsidRPr="00E842EB" w:rsidRDefault="00ED492C" w:rsidP="00AD1A5C">
            <w:pPr>
              <w:autoSpaceDE w:val="0"/>
              <w:autoSpaceDN w:val="0"/>
              <w:adjustRightInd w:val="0"/>
              <w:rPr>
                <w:rFonts w:ascii="Calibri" w:hAnsi="Calibri" w:cs="Calibri"/>
                <w:sz w:val="20"/>
                <w:szCs w:val="20"/>
              </w:rPr>
            </w:pPr>
            <w:r>
              <w:rPr>
                <w:rFonts w:ascii="Calibri" w:hAnsi="Calibri" w:cs="Calibri"/>
                <w:sz w:val="20"/>
                <w:szCs w:val="20"/>
              </w:rPr>
              <w:t>50 000,00</w:t>
            </w:r>
          </w:p>
        </w:tc>
      </w:tr>
      <w:tr w:rsidR="00E842EB" w:rsidRPr="00E842EB" w:rsidTr="00ED492C">
        <w:tc>
          <w:tcPr>
            <w:tcW w:w="2093" w:type="dxa"/>
            <w:shd w:val="clear" w:color="auto" w:fill="D9D9D9" w:themeFill="background1" w:themeFillShade="D9"/>
          </w:tcPr>
          <w:p w:rsidR="00E842EB" w:rsidRPr="00E842EB" w:rsidRDefault="00E842EB" w:rsidP="00AD1A5C">
            <w:pPr>
              <w:autoSpaceDE w:val="0"/>
              <w:autoSpaceDN w:val="0"/>
              <w:adjustRightInd w:val="0"/>
              <w:rPr>
                <w:rFonts w:ascii="Calibri" w:hAnsi="Calibri" w:cs="Calibri"/>
                <w:sz w:val="20"/>
                <w:szCs w:val="20"/>
              </w:rPr>
            </w:pPr>
            <w:r w:rsidRPr="00E842EB">
              <w:rPr>
                <w:rFonts w:ascii="Calibri" w:hAnsi="Calibri" w:cs="Calibri"/>
                <w:sz w:val="20"/>
                <w:szCs w:val="20"/>
              </w:rPr>
              <w:t>Domaine focal</w:t>
            </w:r>
          </w:p>
        </w:tc>
        <w:tc>
          <w:tcPr>
            <w:tcW w:w="2126" w:type="dxa"/>
          </w:tcPr>
          <w:p w:rsidR="00E842EB" w:rsidRPr="00E842EB" w:rsidRDefault="00E842EB" w:rsidP="00AD1A5C">
            <w:pPr>
              <w:autoSpaceDE w:val="0"/>
              <w:autoSpaceDN w:val="0"/>
              <w:adjustRightInd w:val="0"/>
              <w:rPr>
                <w:rFonts w:ascii="Calibri" w:hAnsi="Calibri" w:cs="Calibri"/>
                <w:sz w:val="20"/>
                <w:szCs w:val="20"/>
              </w:rPr>
            </w:pPr>
            <w:r>
              <w:rPr>
                <w:rFonts w:ascii="Calibri" w:hAnsi="Calibri" w:cs="Calibri"/>
                <w:sz w:val="20"/>
                <w:szCs w:val="20"/>
              </w:rPr>
              <w:t>Multi-focal</w:t>
            </w:r>
          </w:p>
        </w:tc>
        <w:tc>
          <w:tcPr>
            <w:tcW w:w="2552" w:type="dxa"/>
            <w:shd w:val="clear" w:color="auto" w:fill="D9D9D9" w:themeFill="background1" w:themeFillShade="D9"/>
          </w:tcPr>
          <w:p w:rsidR="00E842EB" w:rsidRPr="00E842EB" w:rsidRDefault="00ED492C" w:rsidP="00AD1A5C">
            <w:pPr>
              <w:autoSpaceDE w:val="0"/>
              <w:autoSpaceDN w:val="0"/>
              <w:adjustRightInd w:val="0"/>
              <w:rPr>
                <w:rFonts w:ascii="Calibri" w:hAnsi="Calibri" w:cs="Calibri"/>
                <w:sz w:val="20"/>
                <w:szCs w:val="20"/>
              </w:rPr>
            </w:pPr>
            <w:r>
              <w:rPr>
                <w:rFonts w:ascii="Calibri" w:hAnsi="Calibri" w:cs="Calibri"/>
                <w:sz w:val="20"/>
                <w:szCs w:val="20"/>
              </w:rPr>
              <w:t>Cofinancement total (nature)</w:t>
            </w:r>
          </w:p>
        </w:tc>
        <w:tc>
          <w:tcPr>
            <w:tcW w:w="2268" w:type="dxa"/>
          </w:tcPr>
          <w:p w:rsidR="00E842EB" w:rsidRPr="00E842EB" w:rsidRDefault="00ED492C" w:rsidP="00AD1A5C">
            <w:pPr>
              <w:autoSpaceDE w:val="0"/>
              <w:autoSpaceDN w:val="0"/>
              <w:adjustRightInd w:val="0"/>
              <w:rPr>
                <w:rFonts w:ascii="Calibri" w:hAnsi="Calibri" w:cs="Calibri"/>
                <w:sz w:val="20"/>
                <w:szCs w:val="20"/>
              </w:rPr>
            </w:pPr>
            <w:r>
              <w:rPr>
                <w:rFonts w:ascii="Calibri" w:hAnsi="Calibri" w:cs="Calibri"/>
                <w:sz w:val="20"/>
                <w:szCs w:val="20"/>
              </w:rPr>
              <w:t>100 000,00</w:t>
            </w:r>
          </w:p>
        </w:tc>
      </w:tr>
      <w:tr w:rsidR="00E842EB" w:rsidRPr="00E842EB" w:rsidTr="00ED492C">
        <w:tc>
          <w:tcPr>
            <w:tcW w:w="2093" w:type="dxa"/>
            <w:shd w:val="clear" w:color="auto" w:fill="D9D9D9" w:themeFill="background1" w:themeFillShade="D9"/>
          </w:tcPr>
          <w:p w:rsidR="00E842EB" w:rsidRPr="00E842EB" w:rsidRDefault="00E842EB" w:rsidP="00AD1A5C">
            <w:pPr>
              <w:autoSpaceDE w:val="0"/>
              <w:autoSpaceDN w:val="0"/>
              <w:adjustRightInd w:val="0"/>
              <w:rPr>
                <w:rFonts w:ascii="Calibri" w:hAnsi="Calibri" w:cs="Calibri"/>
                <w:sz w:val="20"/>
                <w:szCs w:val="20"/>
              </w:rPr>
            </w:pPr>
            <w:r w:rsidRPr="00E842EB">
              <w:rPr>
                <w:rFonts w:ascii="Calibri" w:hAnsi="Calibri" w:cs="Calibri"/>
                <w:sz w:val="20"/>
                <w:szCs w:val="20"/>
              </w:rPr>
              <w:t>Objectifs FA, (OPSP)</w:t>
            </w:r>
          </w:p>
        </w:tc>
        <w:tc>
          <w:tcPr>
            <w:tcW w:w="2126" w:type="dxa"/>
          </w:tcPr>
          <w:p w:rsidR="00E842EB" w:rsidRPr="00E842EB" w:rsidRDefault="00ED492C" w:rsidP="00AD1A5C">
            <w:pPr>
              <w:autoSpaceDE w:val="0"/>
              <w:autoSpaceDN w:val="0"/>
              <w:adjustRightInd w:val="0"/>
              <w:rPr>
                <w:rFonts w:ascii="Calibri" w:hAnsi="Calibri" w:cs="Calibri"/>
                <w:sz w:val="20"/>
                <w:szCs w:val="20"/>
              </w:rPr>
            </w:pPr>
            <w:r>
              <w:rPr>
                <w:rFonts w:ascii="Calibri" w:hAnsi="Calibri" w:cs="Calibri"/>
                <w:sz w:val="20"/>
                <w:szCs w:val="20"/>
              </w:rPr>
              <w:t>Renforcement des capacités tranversales (CB-2)</w:t>
            </w:r>
          </w:p>
        </w:tc>
        <w:tc>
          <w:tcPr>
            <w:tcW w:w="2552" w:type="dxa"/>
            <w:shd w:val="clear" w:color="auto" w:fill="D9D9D9" w:themeFill="background1" w:themeFillShade="D9"/>
          </w:tcPr>
          <w:p w:rsidR="00E842EB" w:rsidRPr="00E842EB" w:rsidRDefault="00ED492C" w:rsidP="00AD1A5C">
            <w:pPr>
              <w:autoSpaceDE w:val="0"/>
              <w:autoSpaceDN w:val="0"/>
              <w:adjustRightInd w:val="0"/>
              <w:rPr>
                <w:rFonts w:ascii="Calibri" w:hAnsi="Calibri" w:cs="Calibri"/>
                <w:sz w:val="20"/>
                <w:szCs w:val="20"/>
              </w:rPr>
            </w:pPr>
            <w:r>
              <w:rPr>
                <w:rFonts w:ascii="Calibri" w:hAnsi="Calibri" w:cs="Calibri"/>
                <w:sz w:val="20"/>
                <w:szCs w:val="20"/>
              </w:rPr>
              <w:t>Gouvernement MDCE (espèces)</w:t>
            </w:r>
          </w:p>
        </w:tc>
        <w:tc>
          <w:tcPr>
            <w:tcW w:w="2268" w:type="dxa"/>
          </w:tcPr>
          <w:p w:rsidR="00E842EB" w:rsidRPr="00E842EB" w:rsidRDefault="00ED492C" w:rsidP="00AD1A5C">
            <w:pPr>
              <w:autoSpaceDE w:val="0"/>
              <w:autoSpaceDN w:val="0"/>
              <w:adjustRightInd w:val="0"/>
              <w:rPr>
                <w:rFonts w:ascii="Calibri" w:hAnsi="Calibri" w:cs="Calibri"/>
                <w:sz w:val="20"/>
                <w:szCs w:val="20"/>
              </w:rPr>
            </w:pPr>
            <w:r>
              <w:rPr>
                <w:rFonts w:ascii="Calibri" w:hAnsi="Calibri" w:cs="Calibri"/>
                <w:sz w:val="20"/>
                <w:szCs w:val="20"/>
              </w:rPr>
              <w:t>126 900,00</w:t>
            </w:r>
          </w:p>
        </w:tc>
      </w:tr>
      <w:tr w:rsidR="00E842EB" w:rsidRPr="00E842EB" w:rsidTr="00ED492C">
        <w:tc>
          <w:tcPr>
            <w:tcW w:w="2093" w:type="dxa"/>
            <w:shd w:val="clear" w:color="auto" w:fill="D9D9D9" w:themeFill="background1" w:themeFillShade="D9"/>
          </w:tcPr>
          <w:p w:rsidR="00E842EB" w:rsidRPr="00E842EB" w:rsidRDefault="00E842EB" w:rsidP="00AD1A5C">
            <w:pPr>
              <w:autoSpaceDE w:val="0"/>
              <w:autoSpaceDN w:val="0"/>
              <w:adjustRightInd w:val="0"/>
              <w:rPr>
                <w:rFonts w:ascii="Calibri" w:hAnsi="Calibri" w:cs="Calibri"/>
                <w:sz w:val="20"/>
                <w:szCs w:val="20"/>
              </w:rPr>
            </w:pPr>
          </w:p>
        </w:tc>
        <w:tc>
          <w:tcPr>
            <w:tcW w:w="2126" w:type="dxa"/>
          </w:tcPr>
          <w:p w:rsidR="00E842EB" w:rsidRPr="00E842EB" w:rsidRDefault="00E842EB" w:rsidP="00AD1A5C">
            <w:pPr>
              <w:autoSpaceDE w:val="0"/>
              <w:autoSpaceDN w:val="0"/>
              <w:adjustRightInd w:val="0"/>
              <w:rPr>
                <w:rFonts w:ascii="Calibri" w:hAnsi="Calibri" w:cs="Calibri"/>
                <w:sz w:val="20"/>
                <w:szCs w:val="20"/>
              </w:rPr>
            </w:pPr>
          </w:p>
        </w:tc>
        <w:tc>
          <w:tcPr>
            <w:tcW w:w="2552" w:type="dxa"/>
            <w:shd w:val="clear" w:color="auto" w:fill="D9D9D9" w:themeFill="background1" w:themeFillShade="D9"/>
          </w:tcPr>
          <w:p w:rsidR="00E842EB" w:rsidRPr="00E842EB" w:rsidRDefault="00ED492C" w:rsidP="00AD1A5C">
            <w:pPr>
              <w:autoSpaceDE w:val="0"/>
              <w:autoSpaceDN w:val="0"/>
              <w:adjustRightInd w:val="0"/>
              <w:rPr>
                <w:rFonts w:ascii="Calibri" w:hAnsi="Calibri" w:cs="Calibri"/>
                <w:sz w:val="20"/>
                <w:szCs w:val="20"/>
              </w:rPr>
            </w:pPr>
            <w:r>
              <w:rPr>
                <w:rFonts w:ascii="Calibri" w:hAnsi="Calibri" w:cs="Calibri"/>
                <w:sz w:val="20"/>
                <w:szCs w:val="20"/>
              </w:rPr>
              <w:t>PNUD (espèces)</w:t>
            </w:r>
          </w:p>
        </w:tc>
        <w:tc>
          <w:tcPr>
            <w:tcW w:w="2268" w:type="dxa"/>
          </w:tcPr>
          <w:p w:rsidR="00E842EB" w:rsidRPr="00E842EB" w:rsidRDefault="00ED492C" w:rsidP="00AD1A5C">
            <w:pPr>
              <w:autoSpaceDE w:val="0"/>
              <w:autoSpaceDN w:val="0"/>
              <w:adjustRightInd w:val="0"/>
              <w:rPr>
                <w:rFonts w:ascii="Calibri" w:hAnsi="Calibri" w:cs="Calibri"/>
                <w:sz w:val="20"/>
                <w:szCs w:val="20"/>
              </w:rPr>
            </w:pPr>
            <w:r>
              <w:rPr>
                <w:rFonts w:ascii="Calibri" w:hAnsi="Calibri" w:cs="Calibri"/>
                <w:sz w:val="20"/>
                <w:szCs w:val="20"/>
              </w:rPr>
              <w:t>100 000,00</w:t>
            </w:r>
          </w:p>
        </w:tc>
      </w:tr>
      <w:tr w:rsidR="00E842EB" w:rsidRPr="00E842EB" w:rsidTr="00ED492C">
        <w:tc>
          <w:tcPr>
            <w:tcW w:w="2093" w:type="dxa"/>
            <w:shd w:val="clear" w:color="auto" w:fill="D9D9D9" w:themeFill="background1" w:themeFillShade="D9"/>
          </w:tcPr>
          <w:p w:rsidR="00E842EB" w:rsidRPr="00E842EB" w:rsidRDefault="00E842EB" w:rsidP="00AD1A5C">
            <w:pPr>
              <w:autoSpaceDE w:val="0"/>
              <w:autoSpaceDN w:val="0"/>
              <w:adjustRightInd w:val="0"/>
              <w:rPr>
                <w:rFonts w:ascii="Calibri" w:hAnsi="Calibri" w:cs="Calibri"/>
                <w:sz w:val="20"/>
                <w:szCs w:val="20"/>
              </w:rPr>
            </w:pPr>
          </w:p>
        </w:tc>
        <w:tc>
          <w:tcPr>
            <w:tcW w:w="2126" w:type="dxa"/>
          </w:tcPr>
          <w:p w:rsidR="00E842EB" w:rsidRPr="00E842EB" w:rsidRDefault="00E842EB" w:rsidP="00AD1A5C">
            <w:pPr>
              <w:autoSpaceDE w:val="0"/>
              <w:autoSpaceDN w:val="0"/>
              <w:adjustRightInd w:val="0"/>
              <w:rPr>
                <w:rFonts w:ascii="Calibri" w:hAnsi="Calibri" w:cs="Calibri"/>
                <w:sz w:val="20"/>
                <w:szCs w:val="20"/>
              </w:rPr>
            </w:pPr>
          </w:p>
        </w:tc>
        <w:tc>
          <w:tcPr>
            <w:tcW w:w="2552" w:type="dxa"/>
            <w:shd w:val="clear" w:color="auto" w:fill="D9D9D9" w:themeFill="background1" w:themeFillShade="D9"/>
          </w:tcPr>
          <w:p w:rsidR="00E842EB" w:rsidRPr="00E842EB" w:rsidRDefault="00ED492C" w:rsidP="00AD1A5C">
            <w:pPr>
              <w:autoSpaceDE w:val="0"/>
              <w:autoSpaceDN w:val="0"/>
              <w:adjustRightInd w:val="0"/>
              <w:rPr>
                <w:rFonts w:ascii="Calibri" w:hAnsi="Calibri" w:cs="Calibri"/>
                <w:sz w:val="20"/>
                <w:szCs w:val="20"/>
              </w:rPr>
            </w:pPr>
            <w:r>
              <w:rPr>
                <w:rFonts w:ascii="Calibri" w:hAnsi="Calibri" w:cs="Calibri"/>
                <w:sz w:val="20"/>
                <w:szCs w:val="20"/>
              </w:rPr>
              <w:t>Cofinancement total (espèces)</w:t>
            </w:r>
          </w:p>
        </w:tc>
        <w:tc>
          <w:tcPr>
            <w:tcW w:w="2268" w:type="dxa"/>
          </w:tcPr>
          <w:p w:rsidR="00E842EB" w:rsidRPr="00E842EB" w:rsidRDefault="00ED492C" w:rsidP="00AD1A5C">
            <w:pPr>
              <w:autoSpaceDE w:val="0"/>
              <w:autoSpaceDN w:val="0"/>
              <w:adjustRightInd w:val="0"/>
              <w:rPr>
                <w:rFonts w:ascii="Calibri" w:hAnsi="Calibri" w:cs="Calibri"/>
                <w:sz w:val="20"/>
                <w:szCs w:val="20"/>
              </w:rPr>
            </w:pPr>
            <w:r>
              <w:rPr>
                <w:rFonts w:ascii="Calibri" w:hAnsi="Calibri" w:cs="Calibri"/>
                <w:sz w:val="20"/>
                <w:szCs w:val="20"/>
              </w:rPr>
              <w:t>226 900,00</w:t>
            </w:r>
          </w:p>
        </w:tc>
      </w:tr>
      <w:tr w:rsidR="00E842EB" w:rsidRPr="00E842EB" w:rsidTr="00ED492C">
        <w:tc>
          <w:tcPr>
            <w:tcW w:w="2093" w:type="dxa"/>
            <w:shd w:val="clear" w:color="auto" w:fill="D9D9D9" w:themeFill="background1" w:themeFillShade="D9"/>
          </w:tcPr>
          <w:p w:rsidR="00E842EB" w:rsidRPr="00E842EB" w:rsidRDefault="00E842EB" w:rsidP="00AD1A5C">
            <w:pPr>
              <w:autoSpaceDE w:val="0"/>
              <w:autoSpaceDN w:val="0"/>
              <w:adjustRightInd w:val="0"/>
              <w:rPr>
                <w:rFonts w:ascii="Calibri" w:hAnsi="Calibri" w:cs="Calibri"/>
                <w:sz w:val="20"/>
                <w:szCs w:val="20"/>
              </w:rPr>
            </w:pPr>
            <w:r w:rsidRPr="00E842EB">
              <w:rPr>
                <w:rFonts w:ascii="Calibri" w:hAnsi="Calibri" w:cs="Calibri"/>
                <w:sz w:val="20"/>
                <w:szCs w:val="20"/>
              </w:rPr>
              <w:t>Agent d’exécution</w:t>
            </w:r>
          </w:p>
        </w:tc>
        <w:tc>
          <w:tcPr>
            <w:tcW w:w="2126" w:type="dxa"/>
          </w:tcPr>
          <w:p w:rsidR="00E842EB" w:rsidRPr="00E842EB" w:rsidRDefault="00ED492C" w:rsidP="00AD1A5C">
            <w:pPr>
              <w:autoSpaceDE w:val="0"/>
              <w:autoSpaceDN w:val="0"/>
              <w:adjustRightInd w:val="0"/>
              <w:rPr>
                <w:rFonts w:ascii="Calibri" w:hAnsi="Calibri" w:cs="Calibri"/>
                <w:sz w:val="20"/>
                <w:szCs w:val="20"/>
              </w:rPr>
            </w:pPr>
            <w:r>
              <w:rPr>
                <w:rFonts w:ascii="Calibri" w:hAnsi="Calibri" w:cs="Calibri"/>
                <w:sz w:val="20"/>
                <w:szCs w:val="20"/>
              </w:rPr>
              <w:t>MDCE</w:t>
            </w:r>
          </w:p>
        </w:tc>
        <w:tc>
          <w:tcPr>
            <w:tcW w:w="2552" w:type="dxa"/>
            <w:shd w:val="clear" w:color="auto" w:fill="D9D9D9" w:themeFill="background1" w:themeFillShade="D9"/>
          </w:tcPr>
          <w:p w:rsidR="00E842EB" w:rsidRPr="00E842EB" w:rsidRDefault="00ED492C" w:rsidP="00AD1A5C">
            <w:pPr>
              <w:autoSpaceDE w:val="0"/>
              <w:autoSpaceDN w:val="0"/>
              <w:adjustRightInd w:val="0"/>
              <w:rPr>
                <w:rFonts w:ascii="Calibri" w:hAnsi="Calibri" w:cs="Calibri"/>
                <w:sz w:val="20"/>
                <w:szCs w:val="20"/>
              </w:rPr>
            </w:pPr>
            <w:r>
              <w:rPr>
                <w:rFonts w:ascii="Calibri" w:hAnsi="Calibri" w:cs="Calibri"/>
                <w:sz w:val="20"/>
                <w:szCs w:val="20"/>
              </w:rPr>
              <w:t>Coût total du projet</w:t>
            </w:r>
          </w:p>
        </w:tc>
        <w:tc>
          <w:tcPr>
            <w:tcW w:w="2268" w:type="dxa"/>
          </w:tcPr>
          <w:p w:rsidR="00E842EB" w:rsidRPr="00E842EB" w:rsidRDefault="00ED492C" w:rsidP="00AD1A5C">
            <w:pPr>
              <w:autoSpaceDE w:val="0"/>
              <w:autoSpaceDN w:val="0"/>
              <w:adjustRightInd w:val="0"/>
              <w:rPr>
                <w:rFonts w:ascii="Calibri" w:hAnsi="Calibri" w:cs="Calibri"/>
                <w:sz w:val="20"/>
                <w:szCs w:val="20"/>
              </w:rPr>
            </w:pPr>
            <w:r>
              <w:rPr>
                <w:rFonts w:ascii="Calibri" w:hAnsi="Calibri" w:cs="Calibri"/>
                <w:sz w:val="20"/>
                <w:szCs w:val="20"/>
              </w:rPr>
              <w:t>786 900,00</w:t>
            </w:r>
          </w:p>
        </w:tc>
      </w:tr>
      <w:tr w:rsidR="00ED492C" w:rsidRPr="00E842EB" w:rsidTr="00ED492C">
        <w:trPr>
          <w:trHeight w:val="159"/>
        </w:trPr>
        <w:tc>
          <w:tcPr>
            <w:tcW w:w="2093" w:type="dxa"/>
            <w:vMerge w:val="restart"/>
            <w:shd w:val="clear" w:color="auto" w:fill="D9D9D9" w:themeFill="background1" w:themeFillShade="D9"/>
          </w:tcPr>
          <w:p w:rsidR="00ED492C" w:rsidRPr="00E842EB" w:rsidRDefault="00ED492C" w:rsidP="00AD1A5C">
            <w:pPr>
              <w:autoSpaceDE w:val="0"/>
              <w:autoSpaceDN w:val="0"/>
              <w:adjustRightInd w:val="0"/>
              <w:rPr>
                <w:rFonts w:ascii="Calibri" w:hAnsi="Calibri" w:cs="Calibri"/>
                <w:sz w:val="20"/>
                <w:szCs w:val="20"/>
              </w:rPr>
            </w:pPr>
            <w:r w:rsidRPr="00E842EB">
              <w:rPr>
                <w:rFonts w:ascii="Calibri" w:hAnsi="Calibri" w:cs="Calibri"/>
                <w:sz w:val="20"/>
                <w:szCs w:val="20"/>
              </w:rPr>
              <w:t>Autres partenaires participant au projet</w:t>
            </w:r>
          </w:p>
        </w:tc>
        <w:tc>
          <w:tcPr>
            <w:tcW w:w="2126" w:type="dxa"/>
            <w:vMerge w:val="restart"/>
          </w:tcPr>
          <w:p w:rsidR="00ED492C" w:rsidRPr="00E842EB" w:rsidRDefault="00AF3FEE" w:rsidP="00AD1A5C">
            <w:pPr>
              <w:autoSpaceDE w:val="0"/>
              <w:autoSpaceDN w:val="0"/>
              <w:adjustRightInd w:val="0"/>
              <w:rPr>
                <w:rFonts w:ascii="Calibri" w:hAnsi="Calibri" w:cs="Calibri"/>
                <w:sz w:val="20"/>
                <w:szCs w:val="20"/>
              </w:rPr>
            </w:pPr>
            <w:r>
              <w:rPr>
                <w:rFonts w:ascii="Calibri" w:hAnsi="Calibri" w:cs="Calibri"/>
                <w:sz w:val="20"/>
                <w:szCs w:val="20"/>
              </w:rPr>
              <w:t>MI/</w:t>
            </w:r>
            <w:r w:rsidR="00ED492C">
              <w:rPr>
                <w:rFonts w:ascii="Calibri" w:hAnsi="Calibri" w:cs="Calibri"/>
                <w:sz w:val="20"/>
                <w:szCs w:val="20"/>
              </w:rPr>
              <w:t>DGCL, INDH</w:t>
            </w:r>
          </w:p>
        </w:tc>
        <w:tc>
          <w:tcPr>
            <w:tcW w:w="4820" w:type="dxa"/>
            <w:gridSpan w:val="2"/>
          </w:tcPr>
          <w:p w:rsidR="00ED492C" w:rsidRPr="00E842EB" w:rsidRDefault="00ED492C" w:rsidP="00AD1A5C">
            <w:pPr>
              <w:autoSpaceDE w:val="0"/>
              <w:autoSpaceDN w:val="0"/>
              <w:adjustRightInd w:val="0"/>
              <w:rPr>
                <w:rFonts w:ascii="Calibri" w:hAnsi="Calibri" w:cs="Calibri"/>
                <w:sz w:val="20"/>
                <w:szCs w:val="20"/>
              </w:rPr>
            </w:pPr>
            <w:r>
              <w:rPr>
                <w:rFonts w:ascii="Calibri" w:hAnsi="Calibri" w:cs="Calibri"/>
                <w:sz w:val="20"/>
                <w:szCs w:val="20"/>
              </w:rPr>
              <w:t>Signature du Document Projet (Date de début) : 25 novembre 2011</w:t>
            </w:r>
          </w:p>
        </w:tc>
      </w:tr>
      <w:tr w:rsidR="00ED492C" w:rsidRPr="00E842EB" w:rsidTr="00ED492C">
        <w:trPr>
          <w:trHeight w:val="158"/>
        </w:trPr>
        <w:tc>
          <w:tcPr>
            <w:tcW w:w="2093" w:type="dxa"/>
            <w:vMerge/>
            <w:shd w:val="clear" w:color="auto" w:fill="D9D9D9" w:themeFill="background1" w:themeFillShade="D9"/>
          </w:tcPr>
          <w:p w:rsidR="00ED492C" w:rsidRPr="00E842EB" w:rsidRDefault="00ED492C" w:rsidP="00AD1A5C">
            <w:pPr>
              <w:autoSpaceDE w:val="0"/>
              <w:autoSpaceDN w:val="0"/>
              <w:adjustRightInd w:val="0"/>
              <w:rPr>
                <w:rFonts w:ascii="Calibri" w:hAnsi="Calibri" w:cs="Calibri"/>
                <w:sz w:val="20"/>
                <w:szCs w:val="20"/>
              </w:rPr>
            </w:pPr>
          </w:p>
        </w:tc>
        <w:tc>
          <w:tcPr>
            <w:tcW w:w="2126" w:type="dxa"/>
            <w:vMerge/>
          </w:tcPr>
          <w:p w:rsidR="00ED492C" w:rsidRDefault="00ED492C" w:rsidP="00AD1A5C">
            <w:pPr>
              <w:autoSpaceDE w:val="0"/>
              <w:autoSpaceDN w:val="0"/>
              <w:adjustRightInd w:val="0"/>
              <w:rPr>
                <w:rFonts w:ascii="Calibri" w:hAnsi="Calibri" w:cs="Calibri"/>
                <w:sz w:val="20"/>
                <w:szCs w:val="20"/>
              </w:rPr>
            </w:pPr>
          </w:p>
        </w:tc>
        <w:tc>
          <w:tcPr>
            <w:tcW w:w="4820" w:type="dxa"/>
            <w:gridSpan w:val="2"/>
          </w:tcPr>
          <w:p w:rsidR="00ED492C" w:rsidRPr="00E842EB" w:rsidRDefault="00ED492C" w:rsidP="00E951CD">
            <w:pPr>
              <w:autoSpaceDE w:val="0"/>
              <w:autoSpaceDN w:val="0"/>
              <w:adjustRightInd w:val="0"/>
              <w:rPr>
                <w:rFonts w:ascii="Calibri" w:hAnsi="Calibri" w:cs="Calibri"/>
                <w:sz w:val="20"/>
                <w:szCs w:val="20"/>
              </w:rPr>
            </w:pPr>
            <w:r>
              <w:rPr>
                <w:rFonts w:ascii="Calibri" w:hAnsi="Calibri" w:cs="Calibri"/>
                <w:sz w:val="20"/>
                <w:szCs w:val="20"/>
              </w:rPr>
              <w:t xml:space="preserve">Date de clôture opérationnelle proposée : 30 </w:t>
            </w:r>
            <w:r w:rsidR="00E951CD">
              <w:rPr>
                <w:rFonts w:ascii="Calibri" w:hAnsi="Calibri" w:cs="Calibri"/>
                <w:sz w:val="20"/>
                <w:szCs w:val="20"/>
              </w:rPr>
              <w:t>sept</w:t>
            </w:r>
            <w:r w:rsidR="00E951CD">
              <w:rPr>
                <w:rFonts w:ascii="Calibri" w:hAnsi="Calibri" w:cs="Calibri"/>
                <w:sz w:val="20"/>
                <w:szCs w:val="20"/>
                <w:lang w:val="fr-CA"/>
              </w:rPr>
              <w:t>.</w:t>
            </w:r>
            <w:r>
              <w:rPr>
                <w:rFonts w:ascii="Calibri" w:hAnsi="Calibri" w:cs="Calibri"/>
                <w:sz w:val="20"/>
                <w:szCs w:val="20"/>
              </w:rPr>
              <w:t xml:space="preserve"> 2015</w:t>
            </w:r>
          </w:p>
        </w:tc>
      </w:tr>
    </w:tbl>
    <w:p w:rsidR="00440BC4" w:rsidRDefault="00440BC4" w:rsidP="00AD1A5C">
      <w:pPr>
        <w:autoSpaceDE w:val="0"/>
        <w:autoSpaceDN w:val="0"/>
        <w:adjustRightInd w:val="0"/>
        <w:spacing w:after="0" w:line="240" w:lineRule="auto"/>
        <w:rPr>
          <w:rFonts w:ascii="Calibri" w:hAnsi="Calibri" w:cs="Calibri"/>
          <w:color w:val="949699"/>
        </w:rPr>
      </w:pPr>
    </w:p>
    <w:p w:rsidR="00AD1A5C" w:rsidRPr="005E04CA" w:rsidRDefault="007B3FC1" w:rsidP="005E04CA">
      <w:pPr>
        <w:pStyle w:val="Titre2"/>
        <w:spacing w:before="0"/>
        <w:rPr>
          <w:rFonts w:asciiTheme="minorHAnsi" w:hAnsiTheme="minorHAnsi" w:cs="ACaslonPro-Regular"/>
          <w:color w:val="000000"/>
          <w:sz w:val="22"/>
          <w:szCs w:val="22"/>
        </w:rPr>
      </w:pPr>
      <w:bookmarkStart w:id="2" w:name="_Toc425414547"/>
      <w:r w:rsidRPr="005E04CA">
        <w:rPr>
          <w:rFonts w:asciiTheme="minorHAnsi" w:hAnsiTheme="minorHAnsi" w:cs="ACaslonPro-Regular"/>
          <w:color w:val="000000"/>
          <w:sz w:val="22"/>
          <w:szCs w:val="22"/>
        </w:rPr>
        <w:t>Description du projet</w:t>
      </w:r>
      <w:bookmarkEnd w:id="2"/>
    </w:p>
    <w:p w:rsidR="005F317A" w:rsidRDefault="005F317A" w:rsidP="007B3FC1">
      <w:pPr>
        <w:autoSpaceDE w:val="0"/>
        <w:autoSpaceDN w:val="0"/>
        <w:adjustRightInd w:val="0"/>
        <w:spacing w:after="0" w:line="240" w:lineRule="auto"/>
        <w:jc w:val="both"/>
        <w:rPr>
          <w:rFonts w:cs="ACaslonPro-Regular"/>
          <w:color w:val="000000"/>
        </w:rPr>
      </w:pPr>
    </w:p>
    <w:p w:rsidR="007B3FC1" w:rsidRDefault="007B3FC1" w:rsidP="007B3FC1">
      <w:pPr>
        <w:autoSpaceDE w:val="0"/>
        <w:autoSpaceDN w:val="0"/>
        <w:adjustRightInd w:val="0"/>
        <w:spacing w:after="0" w:line="240" w:lineRule="auto"/>
        <w:jc w:val="both"/>
        <w:rPr>
          <w:rFonts w:cs="ACaslonPro-Regular"/>
          <w:color w:val="000000"/>
        </w:rPr>
      </w:pPr>
      <w:r w:rsidRPr="007B3FC1">
        <w:rPr>
          <w:rFonts w:cs="ACaslonPro-Regular"/>
          <w:color w:val="000000"/>
        </w:rPr>
        <w:t xml:space="preserve">Le </w:t>
      </w:r>
      <w:r w:rsidR="0019053E" w:rsidRPr="0019053E">
        <w:rPr>
          <w:rFonts w:cs="ACaslonPro-Regular"/>
          <w:color w:val="000000"/>
        </w:rPr>
        <w:t xml:space="preserve">Projet d’intégration des aspects de l’environnement mondial dans les processus de planification stratégique locale et de suivi de l’Initiative Nationale pour le Développement Humain (INDH) au Maroc </w:t>
      </w:r>
      <w:r w:rsidR="0019053E">
        <w:rPr>
          <w:rFonts w:cs="ACaslonPro-Regular"/>
          <w:color w:val="000000"/>
        </w:rPr>
        <w:t>(appelé dans la suite du rapport ‘’</w:t>
      </w:r>
      <w:r w:rsidRPr="007B3FC1">
        <w:rPr>
          <w:rFonts w:cs="ACaslonPro-Regular"/>
          <w:color w:val="000000"/>
        </w:rPr>
        <w:t>projet CB2</w:t>
      </w:r>
      <w:r w:rsidR="0019053E">
        <w:rPr>
          <w:rFonts w:cs="ACaslonPro-Regular"/>
          <w:color w:val="000000"/>
        </w:rPr>
        <w:t>’’)</w:t>
      </w:r>
      <w:r w:rsidRPr="007B3FC1">
        <w:rPr>
          <w:rFonts w:cs="ACaslonPro-Regular"/>
          <w:color w:val="000000"/>
        </w:rPr>
        <w:t xml:space="preserve">, a émergé du processus ANCRE (2004-2006) qui visait l’identification des priorités nationales et les besoins en termes de renforcement de capacités dans le domaine de la gestion environnementale mondiale, notamment en ce qui concerne la biodiversité, les changements climatiques et la désertification. Parmi les priorités essentielles recommandées par ANCRE, figure en premier lieu le renforcement des capacités des acteurs locaux (collectivités et autorités locales), afin d’améliorer l’efficacité des décisions et des actions locales en matière d’environnement, et de permettre de mieux traduire les engagements nationaux à l’égard des trois Conventions </w:t>
      </w:r>
      <w:r w:rsidR="00AB4545">
        <w:rPr>
          <w:rFonts w:cs="ACaslonPro-Regular"/>
          <w:color w:val="000000"/>
        </w:rPr>
        <w:t xml:space="preserve">de Rio </w:t>
      </w:r>
      <w:r w:rsidRPr="007B3FC1">
        <w:rPr>
          <w:rFonts w:cs="ACaslonPro-Regular"/>
          <w:color w:val="000000"/>
        </w:rPr>
        <w:t>en actions locales concrètes.</w:t>
      </w:r>
    </w:p>
    <w:p w:rsidR="007B3FC1" w:rsidRDefault="007B3FC1" w:rsidP="007B3FC1">
      <w:pPr>
        <w:autoSpaceDE w:val="0"/>
        <w:autoSpaceDN w:val="0"/>
        <w:adjustRightInd w:val="0"/>
        <w:spacing w:after="0" w:line="240" w:lineRule="auto"/>
        <w:jc w:val="both"/>
        <w:rPr>
          <w:rFonts w:cs="ACaslonPro-Regular"/>
          <w:color w:val="000000"/>
        </w:rPr>
      </w:pPr>
    </w:p>
    <w:p w:rsidR="007A24DB" w:rsidRDefault="007A24DB" w:rsidP="007B3FC1">
      <w:pPr>
        <w:autoSpaceDE w:val="0"/>
        <w:autoSpaceDN w:val="0"/>
        <w:adjustRightInd w:val="0"/>
        <w:spacing w:after="0" w:line="240" w:lineRule="auto"/>
        <w:jc w:val="both"/>
        <w:rPr>
          <w:rFonts w:cs="ACaslonPro-Regular"/>
          <w:color w:val="000000"/>
        </w:rPr>
      </w:pPr>
      <w:r w:rsidRPr="007A24DB">
        <w:rPr>
          <w:rFonts w:cs="ACaslonPro-Regular"/>
          <w:color w:val="000000"/>
        </w:rPr>
        <w:t xml:space="preserve">Le projet CB2 fut élaboré dans le cadre de l’UNDAF 2002-2006 (projet approuvé en février 2006 pour un démarrage prévu en octobre 2009). Le projet fut jugé conforme </w:t>
      </w:r>
      <w:r w:rsidR="00351B98">
        <w:rPr>
          <w:rFonts w:cs="ACaslonPro-Regular"/>
          <w:color w:val="000000"/>
        </w:rPr>
        <w:t xml:space="preserve">à la date de son démarrage en 2012,car il </w:t>
      </w:r>
      <w:r w:rsidR="00351B98" w:rsidRPr="00351B98">
        <w:rPr>
          <w:rFonts w:cs="ACaslonPro-Regular"/>
          <w:color w:val="000000"/>
        </w:rPr>
        <w:t>participe directement à la réalisation d’au moins trois des cinq domaines de coopération identifiés par l’UNDAF pour la période 2012-2016</w:t>
      </w:r>
      <w:r w:rsidR="00351B98">
        <w:rPr>
          <w:rFonts w:cs="ACaslonPro-Regular"/>
          <w:color w:val="000000"/>
        </w:rPr>
        <w:t>.</w:t>
      </w:r>
    </w:p>
    <w:p w:rsidR="007A24DB" w:rsidRDefault="007A24DB" w:rsidP="007B3FC1">
      <w:pPr>
        <w:autoSpaceDE w:val="0"/>
        <w:autoSpaceDN w:val="0"/>
        <w:adjustRightInd w:val="0"/>
        <w:spacing w:after="0" w:line="240" w:lineRule="auto"/>
        <w:jc w:val="both"/>
        <w:rPr>
          <w:rFonts w:cs="ACaslonPro-Regular"/>
          <w:color w:val="000000"/>
        </w:rPr>
      </w:pPr>
    </w:p>
    <w:p w:rsidR="007B3FC1" w:rsidRDefault="007B3FC1" w:rsidP="007B3FC1">
      <w:pPr>
        <w:autoSpaceDE w:val="0"/>
        <w:autoSpaceDN w:val="0"/>
        <w:adjustRightInd w:val="0"/>
        <w:spacing w:after="0" w:line="240" w:lineRule="auto"/>
        <w:jc w:val="both"/>
        <w:rPr>
          <w:rFonts w:cs="ACaslonPro-Regular"/>
          <w:color w:val="000000"/>
        </w:rPr>
      </w:pPr>
      <w:r>
        <w:rPr>
          <w:rFonts w:cs="ACaslonPro-Regular"/>
          <w:color w:val="000000"/>
        </w:rPr>
        <w:t>La mise en œuvre du projet coïncide avec l’engagement de nombreux projets de réformes pour entériner le processus de démocratisation de la société et pour orienter la recherche d’un modèle de développement soutenable. Ces projets de réformes correspondent à :</w:t>
      </w:r>
    </w:p>
    <w:p w:rsidR="007B3FC1" w:rsidRDefault="007B3FC1" w:rsidP="007B3FC1">
      <w:pPr>
        <w:pStyle w:val="Paragraphedeliste"/>
        <w:numPr>
          <w:ilvl w:val="0"/>
          <w:numId w:val="1"/>
        </w:numPr>
        <w:autoSpaceDE w:val="0"/>
        <w:autoSpaceDN w:val="0"/>
        <w:adjustRightInd w:val="0"/>
        <w:spacing w:after="0" w:line="240" w:lineRule="auto"/>
        <w:jc w:val="both"/>
        <w:rPr>
          <w:rFonts w:cs="ACaslonPro-Regular"/>
          <w:color w:val="000000"/>
        </w:rPr>
      </w:pPr>
      <w:r>
        <w:rPr>
          <w:rFonts w:cs="ACaslonPro-Regular"/>
          <w:color w:val="000000"/>
        </w:rPr>
        <w:t>La nouvelle constitution et la régionalisation avancée qui requièrent un important engagement des collectivités territoriales</w:t>
      </w:r>
    </w:p>
    <w:p w:rsidR="007B3FC1" w:rsidRDefault="007B3FC1" w:rsidP="007B3FC1">
      <w:pPr>
        <w:pStyle w:val="Paragraphedeliste"/>
        <w:numPr>
          <w:ilvl w:val="0"/>
          <w:numId w:val="1"/>
        </w:numPr>
        <w:autoSpaceDE w:val="0"/>
        <w:autoSpaceDN w:val="0"/>
        <w:adjustRightInd w:val="0"/>
        <w:spacing w:after="0" w:line="240" w:lineRule="auto"/>
        <w:jc w:val="both"/>
        <w:rPr>
          <w:rFonts w:cs="ACaslonPro-Regular"/>
          <w:color w:val="000000"/>
        </w:rPr>
      </w:pPr>
      <w:r>
        <w:rPr>
          <w:rFonts w:cs="ACaslonPro-Regular"/>
          <w:color w:val="000000"/>
        </w:rPr>
        <w:t>La Charte Nationale de l’Environnement et du Développement Durable qui constitue le cadre de référence pour le développement de tout projet de territoire</w:t>
      </w:r>
    </w:p>
    <w:p w:rsidR="007B3FC1" w:rsidRDefault="007B3FC1" w:rsidP="007B3FC1">
      <w:pPr>
        <w:pStyle w:val="Paragraphedeliste"/>
        <w:numPr>
          <w:ilvl w:val="0"/>
          <w:numId w:val="1"/>
        </w:numPr>
        <w:autoSpaceDE w:val="0"/>
        <w:autoSpaceDN w:val="0"/>
        <w:adjustRightInd w:val="0"/>
        <w:spacing w:after="0" w:line="240" w:lineRule="auto"/>
        <w:jc w:val="both"/>
        <w:rPr>
          <w:rFonts w:cs="ACaslonPro-Regular"/>
          <w:color w:val="000000"/>
        </w:rPr>
      </w:pPr>
      <w:r>
        <w:rPr>
          <w:rFonts w:cs="ACaslonPro-Regular"/>
          <w:color w:val="000000"/>
        </w:rPr>
        <w:t>L’Initiative Nationale pour le Développement Humain</w:t>
      </w:r>
      <w:r w:rsidR="00114DDF">
        <w:rPr>
          <w:rFonts w:cs="ACaslonPro-Regular"/>
          <w:color w:val="000000"/>
        </w:rPr>
        <w:t xml:space="preserve"> qui intervient dans les zones les plus vulnérables aussi bien en milieu rural que urbain, et </w:t>
      </w:r>
    </w:p>
    <w:p w:rsidR="00114DDF" w:rsidRDefault="00114DDF" w:rsidP="007B3FC1">
      <w:pPr>
        <w:pStyle w:val="Paragraphedeliste"/>
        <w:numPr>
          <w:ilvl w:val="0"/>
          <w:numId w:val="1"/>
        </w:numPr>
        <w:autoSpaceDE w:val="0"/>
        <w:autoSpaceDN w:val="0"/>
        <w:adjustRightInd w:val="0"/>
        <w:spacing w:after="0" w:line="240" w:lineRule="auto"/>
        <w:jc w:val="both"/>
        <w:rPr>
          <w:rFonts w:cs="ACaslonPro-Regular"/>
          <w:color w:val="000000"/>
        </w:rPr>
      </w:pPr>
      <w:r>
        <w:rPr>
          <w:rFonts w:cs="ACaslonPro-Regular"/>
          <w:color w:val="000000"/>
        </w:rPr>
        <w:lastRenderedPageBreak/>
        <w:t>Le chantier d’appui et d’accompagnement des communes dans l’élaboration de leur Plan Communaux de Développement, qui ambitionne de faire des collectivités territoriales une locomotive de développement aux niveaux local, provincial et régional.</w:t>
      </w:r>
    </w:p>
    <w:p w:rsidR="006F68D0" w:rsidRDefault="006F68D0" w:rsidP="00772764">
      <w:pPr>
        <w:autoSpaceDE w:val="0"/>
        <w:autoSpaceDN w:val="0"/>
        <w:adjustRightInd w:val="0"/>
        <w:spacing w:after="0" w:line="240" w:lineRule="auto"/>
        <w:jc w:val="both"/>
        <w:rPr>
          <w:rFonts w:cs="ACaslonPro-Regular"/>
          <w:color w:val="000000"/>
        </w:rPr>
      </w:pPr>
    </w:p>
    <w:p w:rsidR="00772764" w:rsidRDefault="00824C57" w:rsidP="00772764">
      <w:pPr>
        <w:autoSpaceDE w:val="0"/>
        <w:autoSpaceDN w:val="0"/>
        <w:adjustRightInd w:val="0"/>
        <w:spacing w:after="0" w:line="240" w:lineRule="auto"/>
        <w:jc w:val="both"/>
        <w:rPr>
          <w:rFonts w:cs="ACaslonPro-Regular"/>
          <w:color w:val="000000"/>
        </w:rPr>
      </w:pPr>
      <w:r>
        <w:rPr>
          <w:rFonts w:cs="ACaslonPro-Regular"/>
          <w:color w:val="000000"/>
        </w:rPr>
        <w:t>Selon la note de cadrage, l</w:t>
      </w:r>
      <w:r w:rsidR="00772764">
        <w:rPr>
          <w:rFonts w:cs="ACaslonPro-Regular"/>
          <w:color w:val="000000"/>
        </w:rPr>
        <w:t>e projet prévu pour une durée de trois ans visait à :</w:t>
      </w:r>
    </w:p>
    <w:p w:rsidR="00772764" w:rsidRDefault="00772764" w:rsidP="00772764">
      <w:pPr>
        <w:pStyle w:val="Paragraphedeliste"/>
        <w:numPr>
          <w:ilvl w:val="0"/>
          <w:numId w:val="1"/>
        </w:numPr>
        <w:autoSpaceDE w:val="0"/>
        <w:autoSpaceDN w:val="0"/>
        <w:adjustRightInd w:val="0"/>
        <w:spacing w:after="0" w:line="240" w:lineRule="auto"/>
        <w:jc w:val="both"/>
        <w:rPr>
          <w:rFonts w:cs="ACaslonPro-Regular"/>
          <w:color w:val="000000"/>
        </w:rPr>
      </w:pPr>
      <w:r>
        <w:rPr>
          <w:rFonts w:cs="ACaslonPro-Regular"/>
          <w:color w:val="000000"/>
        </w:rPr>
        <w:t xml:space="preserve">Développer un cadre de référence et </w:t>
      </w:r>
      <w:r w:rsidR="00AB4545">
        <w:rPr>
          <w:rFonts w:cs="ACaslonPro-Regular"/>
          <w:color w:val="000000"/>
        </w:rPr>
        <w:t xml:space="preserve">des </w:t>
      </w:r>
      <w:r>
        <w:rPr>
          <w:rFonts w:cs="ACaslonPro-Regular"/>
          <w:color w:val="000000"/>
        </w:rPr>
        <w:t>directives en matière d’intégration de l’Environnement au niveau local</w:t>
      </w:r>
    </w:p>
    <w:p w:rsidR="00772764" w:rsidRDefault="00772764" w:rsidP="00772764">
      <w:pPr>
        <w:pStyle w:val="Paragraphedeliste"/>
        <w:numPr>
          <w:ilvl w:val="0"/>
          <w:numId w:val="1"/>
        </w:numPr>
        <w:autoSpaceDE w:val="0"/>
        <w:autoSpaceDN w:val="0"/>
        <w:adjustRightInd w:val="0"/>
        <w:spacing w:after="0" w:line="240" w:lineRule="auto"/>
        <w:jc w:val="both"/>
        <w:rPr>
          <w:rFonts w:cs="ACaslonPro-Regular"/>
          <w:color w:val="000000"/>
        </w:rPr>
      </w:pPr>
      <w:r>
        <w:rPr>
          <w:rFonts w:cs="ACaslonPro-Regular"/>
          <w:color w:val="000000"/>
        </w:rPr>
        <w:t>Élaborer un guide méthodologique en matière d’</w:t>
      </w:r>
      <w:r w:rsidR="00AB4545">
        <w:rPr>
          <w:rFonts w:cs="ACaslonPro-Regular"/>
          <w:color w:val="000000"/>
        </w:rPr>
        <w:t>i</w:t>
      </w:r>
      <w:r>
        <w:rPr>
          <w:rFonts w:cs="ACaslonPro-Regular"/>
          <w:color w:val="000000"/>
        </w:rPr>
        <w:t>ntégration de l’Environnement au niveau Local</w:t>
      </w:r>
    </w:p>
    <w:p w:rsidR="00772764" w:rsidRDefault="00772764" w:rsidP="00772764">
      <w:pPr>
        <w:pStyle w:val="Paragraphedeliste"/>
        <w:numPr>
          <w:ilvl w:val="0"/>
          <w:numId w:val="1"/>
        </w:numPr>
        <w:autoSpaceDE w:val="0"/>
        <w:autoSpaceDN w:val="0"/>
        <w:adjustRightInd w:val="0"/>
        <w:spacing w:after="0" w:line="240" w:lineRule="auto"/>
        <w:jc w:val="both"/>
        <w:rPr>
          <w:rFonts w:cs="ACaslonPro-Regular"/>
          <w:color w:val="000000"/>
        </w:rPr>
      </w:pPr>
      <w:r>
        <w:rPr>
          <w:rFonts w:cs="ACaslonPro-Regular"/>
          <w:color w:val="000000"/>
        </w:rPr>
        <w:t>Développer et mettre en œuvre un plan de renforcement des capacités au niveau des trois régions pilotes</w:t>
      </w:r>
    </w:p>
    <w:p w:rsidR="00772764" w:rsidRDefault="00772764" w:rsidP="00772764">
      <w:pPr>
        <w:pStyle w:val="Paragraphedeliste"/>
        <w:numPr>
          <w:ilvl w:val="0"/>
          <w:numId w:val="1"/>
        </w:numPr>
        <w:autoSpaceDE w:val="0"/>
        <w:autoSpaceDN w:val="0"/>
        <w:adjustRightInd w:val="0"/>
        <w:spacing w:after="0" w:line="240" w:lineRule="auto"/>
        <w:jc w:val="both"/>
        <w:rPr>
          <w:rFonts w:cs="ACaslonPro-Regular"/>
          <w:color w:val="000000"/>
        </w:rPr>
      </w:pPr>
      <w:r>
        <w:rPr>
          <w:rFonts w:cs="ACaslonPro-Regular"/>
          <w:color w:val="000000"/>
        </w:rPr>
        <w:t>Animer la réflexion sur un modèle de gouvernance territoriale facilitateur de l’intégration systématique de l’environnement au niveau local</w:t>
      </w:r>
    </w:p>
    <w:p w:rsidR="00772764" w:rsidRDefault="00772764" w:rsidP="00772764">
      <w:pPr>
        <w:pStyle w:val="Paragraphedeliste"/>
        <w:numPr>
          <w:ilvl w:val="0"/>
          <w:numId w:val="1"/>
        </w:numPr>
        <w:autoSpaceDE w:val="0"/>
        <w:autoSpaceDN w:val="0"/>
        <w:adjustRightInd w:val="0"/>
        <w:spacing w:after="0" w:line="240" w:lineRule="auto"/>
        <w:jc w:val="both"/>
        <w:rPr>
          <w:rFonts w:cs="ACaslonPro-Regular"/>
          <w:color w:val="000000"/>
        </w:rPr>
      </w:pPr>
      <w:r>
        <w:rPr>
          <w:rFonts w:cs="ACaslonPro-Regular"/>
          <w:color w:val="000000"/>
        </w:rPr>
        <w:t>Tester l’approche et les outils méthodologiques développés au niveau des régions pilotes et capitaliser sur les enseignements en vue de la généralisation</w:t>
      </w:r>
    </w:p>
    <w:p w:rsidR="00772764" w:rsidRDefault="00772764" w:rsidP="00772764">
      <w:pPr>
        <w:pStyle w:val="Paragraphedeliste"/>
        <w:numPr>
          <w:ilvl w:val="0"/>
          <w:numId w:val="1"/>
        </w:numPr>
        <w:autoSpaceDE w:val="0"/>
        <w:autoSpaceDN w:val="0"/>
        <w:adjustRightInd w:val="0"/>
        <w:spacing w:after="0" w:line="240" w:lineRule="auto"/>
        <w:jc w:val="both"/>
        <w:rPr>
          <w:rFonts w:cs="ACaslonPro-Regular"/>
          <w:color w:val="000000"/>
        </w:rPr>
      </w:pPr>
      <w:r>
        <w:rPr>
          <w:rFonts w:cs="ACaslonPro-Regular"/>
          <w:color w:val="000000"/>
        </w:rPr>
        <w:t>Élaborer et soumettre à l’adoption des acteurs une stratégie de généralisation qui servira de base pour l’opérationnalisation de la Charte Nationale de l’Environnement et du Développement Durable</w:t>
      </w:r>
    </w:p>
    <w:p w:rsidR="00AA1F17" w:rsidRDefault="00AA1F17" w:rsidP="00772764">
      <w:pPr>
        <w:autoSpaceDE w:val="0"/>
        <w:autoSpaceDN w:val="0"/>
        <w:adjustRightInd w:val="0"/>
        <w:spacing w:after="0" w:line="240" w:lineRule="auto"/>
        <w:jc w:val="both"/>
        <w:rPr>
          <w:rFonts w:cs="ACaslonPro-Regular"/>
          <w:color w:val="000000"/>
        </w:rPr>
      </w:pPr>
    </w:p>
    <w:p w:rsidR="00772764" w:rsidRDefault="00AA1F17" w:rsidP="00772764">
      <w:pPr>
        <w:autoSpaceDE w:val="0"/>
        <w:autoSpaceDN w:val="0"/>
        <w:adjustRightInd w:val="0"/>
        <w:spacing w:after="0" w:line="240" w:lineRule="auto"/>
        <w:jc w:val="both"/>
        <w:rPr>
          <w:rFonts w:cs="ACaslonPro-Regular"/>
          <w:color w:val="000000"/>
        </w:rPr>
      </w:pPr>
      <w:r w:rsidRPr="00AA1F17">
        <w:rPr>
          <w:rFonts w:cs="ACaslonPro-Regular"/>
          <w:color w:val="000000"/>
        </w:rPr>
        <w:t xml:space="preserve">Le projet CB2 a été initié dans le cadre d’un partenariat entre le Ministère de l’Energie, des Mines de l’Eau et de l’Environnement, Département de l’Environnement, le Ministère de l’Intérieur, Direction Générale des Collectivités Locales et </w:t>
      </w:r>
      <w:r>
        <w:rPr>
          <w:rFonts w:cs="ACaslonPro-Regular"/>
          <w:color w:val="000000"/>
        </w:rPr>
        <w:t xml:space="preserve">la </w:t>
      </w:r>
      <w:r w:rsidRPr="00AA1F17">
        <w:rPr>
          <w:rFonts w:cs="ACaslonPro-Regular"/>
          <w:color w:val="000000"/>
        </w:rPr>
        <w:t xml:space="preserve">Coordination </w:t>
      </w:r>
      <w:r>
        <w:rPr>
          <w:rFonts w:cs="ACaslonPro-Regular"/>
          <w:color w:val="000000"/>
        </w:rPr>
        <w:t xml:space="preserve">Nationale </w:t>
      </w:r>
      <w:r w:rsidRPr="00AA1F17">
        <w:rPr>
          <w:rFonts w:cs="ACaslonPro-Regular"/>
          <w:color w:val="000000"/>
        </w:rPr>
        <w:t>de l’INDH, et le Programme des Nations Unies pou</w:t>
      </w:r>
      <w:r>
        <w:rPr>
          <w:rFonts w:cs="ACaslonPro-Regular"/>
          <w:color w:val="000000"/>
        </w:rPr>
        <w:t>r le Développement</w:t>
      </w:r>
      <w:r w:rsidRPr="00AA1F17">
        <w:rPr>
          <w:rFonts w:cs="ACaslonPro-Regular"/>
          <w:color w:val="000000"/>
        </w:rPr>
        <w:t>.</w:t>
      </w:r>
    </w:p>
    <w:p w:rsidR="00AA1F17" w:rsidRPr="00772764" w:rsidRDefault="00AA1F17" w:rsidP="00772764">
      <w:pPr>
        <w:autoSpaceDE w:val="0"/>
        <w:autoSpaceDN w:val="0"/>
        <w:adjustRightInd w:val="0"/>
        <w:spacing w:after="0" w:line="240" w:lineRule="auto"/>
        <w:jc w:val="both"/>
        <w:rPr>
          <w:rFonts w:cs="ACaslonPro-Regular"/>
          <w:color w:val="000000"/>
        </w:rPr>
      </w:pPr>
    </w:p>
    <w:p w:rsidR="00AD1A5C" w:rsidRPr="005E04CA" w:rsidRDefault="00AD1A5C" w:rsidP="005E04CA">
      <w:pPr>
        <w:pStyle w:val="Titre2"/>
        <w:spacing w:before="0"/>
        <w:rPr>
          <w:rFonts w:asciiTheme="minorHAnsi" w:hAnsiTheme="minorHAnsi" w:cs="ACaslonPro-Regular"/>
          <w:color w:val="000000"/>
          <w:sz w:val="22"/>
          <w:szCs w:val="22"/>
        </w:rPr>
      </w:pPr>
      <w:bookmarkStart w:id="3" w:name="_Toc425414548"/>
      <w:r w:rsidRPr="005E04CA">
        <w:rPr>
          <w:rFonts w:asciiTheme="minorHAnsi" w:hAnsiTheme="minorHAnsi" w:cs="ACaslonPro-Regular"/>
          <w:color w:val="000000"/>
          <w:sz w:val="22"/>
          <w:szCs w:val="22"/>
        </w:rPr>
        <w:t>Tableau de notations d’évaluation</w:t>
      </w:r>
      <w:bookmarkEnd w:id="3"/>
    </w:p>
    <w:p w:rsidR="007A24DB" w:rsidRDefault="007A24DB" w:rsidP="00AD1A5C">
      <w:pPr>
        <w:autoSpaceDE w:val="0"/>
        <w:autoSpaceDN w:val="0"/>
        <w:adjustRightInd w:val="0"/>
        <w:spacing w:after="0" w:line="240" w:lineRule="auto"/>
        <w:rPr>
          <w:rFonts w:ascii="Calibri" w:hAnsi="Calibri" w:cs="Calibri"/>
          <w:color w:val="949699"/>
        </w:rPr>
      </w:pPr>
    </w:p>
    <w:tbl>
      <w:tblPr>
        <w:tblStyle w:val="Grilledutableau"/>
        <w:tblW w:w="0" w:type="auto"/>
        <w:tblLook w:val="04A0"/>
      </w:tblPr>
      <w:tblGrid>
        <w:gridCol w:w="7196"/>
        <w:gridCol w:w="2016"/>
      </w:tblGrid>
      <w:tr w:rsidR="00AB4545" w:rsidRPr="006F68D0" w:rsidTr="00755753">
        <w:tc>
          <w:tcPr>
            <w:tcW w:w="9062" w:type="dxa"/>
            <w:gridSpan w:val="2"/>
          </w:tcPr>
          <w:p w:rsidR="00AB4545" w:rsidRDefault="00AB4545" w:rsidP="00AD1A5C">
            <w:pPr>
              <w:autoSpaceDE w:val="0"/>
              <w:autoSpaceDN w:val="0"/>
              <w:adjustRightInd w:val="0"/>
              <w:rPr>
                <w:rFonts w:ascii="Calibri" w:hAnsi="Calibri" w:cs="Calibri"/>
                <w:sz w:val="18"/>
                <w:szCs w:val="18"/>
              </w:rPr>
            </w:pPr>
            <w:r w:rsidRPr="00AB4545">
              <w:rPr>
                <w:rFonts w:ascii="Calibri" w:hAnsi="Calibri" w:cs="Calibri"/>
                <w:sz w:val="18"/>
                <w:szCs w:val="18"/>
              </w:rPr>
              <w:t xml:space="preserve">NOTES D'EVALUATION </w:t>
            </w:r>
          </w:p>
          <w:p w:rsidR="00AB4545" w:rsidRDefault="00AB4545" w:rsidP="00AD1A5C">
            <w:pPr>
              <w:autoSpaceDE w:val="0"/>
              <w:autoSpaceDN w:val="0"/>
              <w:adjustRightInd w:val="0"/>
              <w:rPr>
                <w:rFonts w:ascii="Calibri" w:hAnsi="Calibri" w:cs="Calibri"/>
                <w:sz w:val="18"/>
                <w:szCs w:val="18"/>
              </w:rPr>
            </w:pPr>
            <w:r w:rsidRPr="00AB4545">
              <w:rPr>
                <w:rFonts w:ascii="Calibri" w:hAnsi="Calibri" w:cs="Calibri"/>
                <w:sz w:val="18"/>
                <w:szCs w:val="18"/>
              </w:rPr>
              <w:t xml:space="preserve">6 | Très satisfaisant (HS) : pas de lacunes </w:t>
            </w:r>
          </w:p>
          <w:p w:rsidR="00AB4545" w:rsidRDefault="00AB4545" w:rsidP="00AD1A5C">
            <w:pPr>
              <w:autoSpaceDE w:val="0"/>
              <w:autoSpaceDN w:val="0"/>
              <w:adjustRightInd w:val="0"/>
              <w:rPr>
                <w:rFonts w:ascii="Calibri" w:hAnsi="Calibri" w:cs="Calibri"/>
                <w:sz w:val="18"/>
                <w:szCs w:val="18"/>
              </w:rPr>
            </w:pPr>
            <w:r w:rsidRPr="00AB4545">
              <w:rPr>
                <w:rFonts w:ascii="Calibri" w:hAnsi="Calibri" w:cs="Calibri"/>
                <w:sz w:val="18"/>
                <w:szCs w:val="18"/>
              </w:rPr>
              <w:t xml:space="preserve">5 | Satisfaisant (S) : lacunes mineures </w:t>
            </w:r>
          </w:p>
          <w:p w:rsidR="00AB4545" w:rsidRDefault="00AB4545" w:rsidP="00AD1A5C">
            <w:pPr>
              <w:autoSpaceDE w:val="0"/>
              <w:autoSpaceDN w:val="0"/>
              <w:adjustRightInd w:val="0"/>
              <w:rPr>
                <w:rFonts w:ascii="Calibri" w:hAnsi="Calibri" w:cs="Calibri"/>
                <w:sz w:val="18"/>
                <w:szCs w:val="18"/>
              </w:rPr>
            </w:pPr>
            <w:r w:rsidRPr="00AB4545">
              <w:rPr>
                <w:rFonts w:ascii="Calibri" w:hAnsi="Calibri" w:cs="Calibri"/>
                <w:sz w:val="18"/>
                <w:szCs w:val="18"/>
              </w:rPr>
              <w:t xml:space="preserve">4 | Modérément satisfaisant (MS) : lacunes modérées  </w:t>
            </w:r>
          </w:p>
          <w:p w:rsidR="00AB4545" w:rsidRDefault="00AB4545" w:rsidP="00AD1A5C">
            <w:pPr>
              <w:autoSpaceDE w:val="0"/>
              <w:autoSpaceDN w:val="0"/>
              <w:adjustRightInd w:val="0"/>
              <w:rPr>
                <w:rFonts w:ascii="Calibri" w:hAnsi="Calibri" w:cs="Calibri"/>
                <w:sz w:val="18"/>
                <w:szCs w:val="18"/>
              </w:rPr>
            </w:pPr>
            <w:r w:rsidRPr="00AB4545">
              <w:rPr>
                <w:rFonts w:ascii="Calibri" w:hAnsi="Calibri" w:cs="Calibri"/>
                <w:sz w:val="18"/>
                <w:szCs w:val="18"/>
              </w:rPr>
              <w:t xml:space="preserve">3 | Modérément Insatisfaisant (MU) : lacunes importantes  </w:t>
            </w:r>
          </w:p>
          <w:p w:rsidR="00AB4545" w:rsidRDefault="00AB4545" w:rsidP="00AD1A5C">
            <w:pPr>
              <w:autoSpaceDE w:val="0"/>
              <w:autoSpaceDN w:val="0"/>
              <w:adjustRightInd w:val="0"/>
              <w:rPr>
                <w:rFonts w:ascii="Calibri" w:hAnsi="Calibri" w:cs="Calibri"/>
                <w:sz w:val="18"/>
                <w:szCs w:val="18"/>
              </w:rPr>
            </w:pPr>
            <w:r w:rsidRPr="00AB4545">
              <w:rPr>
                <w:rFonts w:ascii="Calibri" w:hAnsi="Calibri" w:cs="Calibri"/>
                <w:sz w:val="18"/>
                <w:szCs w:val="18"/>
              </w:rPr>
              <w:t xml:space="preserve">2 | Insatisfaisant (U) : problèmes majeurs </w:t>
            </w:r>
          </w:p>
          <w:p w:rsidR="00AB4545" w:rsidRPr="006F68D0" w:rsidRDefault="00AB4545" w:rsidP="00AD1A5C">
            <w:pPr>
              <w:autoSpaceDE w:val="0"/>
              <w:autoSpaceDN w:val="0"/>
              <w:adjustRightInd w:val="0"/>
              <w:rPr>
                <w:rFonts w:ascii="Calibri" w:hAnsi="Calibri" w:cs="Calibri"/>
              </w:rPr>
            </w:pPr>
            <w:r w:rsidRPr="00AB4545">
              <w:rPr>
                <w:rFonts w:ascii="Calibri" w:hAnsi="Calibri" w:cs="Calibri"/>
                <w:sz w:val="18"/>
                <w:szCs w:val="18"/>
              </w:rPr>
              <w:t>1 | Très insatisfaisant (HU) : de graves problèmes</w:t>
            </w:r>
          </w:p>
        </w:tc>
      </w:tr>
      <w:tr w:rsidR="006F68D0" w:rsidRPr="006F68D0" w:rsidTr="00BF4F3C">
        <w:tc>
          <w:tcPr>
            <w:tcW w:w="7196" w:type="dxa"/>
          </w:tcPr>
          <w:p w:rsidR="006F68D0" w:rsidRPr="006F68D0" w:rsidRDefault="006F68D0" w:rsidP="006F68D0">
            <w:pPr>
              <w:autoSpaceDE w:val="0"/>
              <w:autoSpaceDN w:val="0"/>
              <w:adjustRightInd w:val="0"/>
              <w:jc w:val="center"/>
              <w:rPr>
                <w:rFonts w:ascii="Calibri" w:hAnsi="Calibri" w:cs="Calibri"/>
                <w:b/>
              </w:rPr>
            </w:pPr>
            <w:r w:rsidRPr="006F68D0">
              <w:rPr>
                <w:rFonts w:ascii="Calibri" w:hAnsi="Calibri" w:cs="Calibri"/>
                <w:b/>
              </w:rPr>
              <w:t>Suivi et évaluation</w:t>
            </w:r>
          </w:p>
        </w:tc>
        <w:tc>
          <w:tcPr>
            <w:tcW w:w="2016" w:type="dxa"/>
          </w:tcPr>
          <w:p w:rsidR="006F68D0" w:rsidRPr="00BF4F3C" w:rsidRDefault="006F68D0" w:rsidP="00BF4F3C">
            <w:pPr>
              <w:autoSpaceDE w:val="0"/>
              <w:autoSpaceDN w:val="0"/>
              <w:adjustRightInd w:val="0"/>
              <w:jc w:val="center"/>
              <w:rPr>
                <w:rFonts w:ascii="Calibri" w:hAnsi="Calibri" w:cs="Calibri"/>
                <w:b/>
              </w:rPr>
            </w:pPr>
            <w:r w:rsidRPr="00BF4F3C">
              <w:rPr>
                <w:rFonts w:ascii="Calibri" w:hAnsi="Calibri" w:cs="Calibri"/>
                <w:b/>
              </w:rPr>
              <w:t>Notation</w:t>
            </w:r>
          </w:p>
        </w:tc>
      </w:tr>
      <w:tr w:rsidR="006F68D0" w:rsidRPr="006F68D0" w:rsidTr="00BF4F3C">
        <w:tc>
          <w:tcPr>
            <w:tcW w:w="7196" w:type="dxa"/>
          </w:tcPr>
          <w:p w:rsidR="006F68D0" w:rsidRPr="006F68D0" w:rsidRDefault="006F68D0" w:rsidP="00AD1A5C">
            <w:pPr>
              <w:autoSpaceDE w:val="0"/>
              <w:autoSpaceDN w:val="0"/>
              <w:adjustRightInd w:val="0"/>
              <w:rPr>
                <w:rFonts w:ascii="Calibri" w:hAnsi="Calibri" w:cs="Calibri"/>
              </w:rPr>
            </w:pPr>
            <w:r>
              <w:rPr>
                <w:rFonts w:ascii="Calibri" w:hAnsi="Calibri" w:cs="Calibri"/>
              </w:rPr>
              <w:t>Conception du suivi et de l’évaluation lors du montage du projet</w:t>
            </w:r>
          </w:p>
        </w:tc>
        <w:tc>
          <w:tcPr>
            <w:tcW w:w="2016" w:type="dxa"/>
          </w:tcPr>
          <w:p w:rsidR="006F68D0" w:rsidRPr="00BF4F3C" w:rsidRDefault="00BF4F3C" w:rsidP="00BF4F3C">
            <w:pPr>
              <w:autoSpaceDE w:val="0"/>
              <w:autoSpaceDN w:val="0"/>
              <w:adjustRightInd w:val="0"/>
              <w:jc w:val="center"/>
              <w:rPr>
                <w:rFonts w:ascii="Calibri" w:hAnsi="Calibri" w:cs="Calibri"/>
                <w:b/>
              </w:rPr>
            </w:pPr>
            <w:r w:rsidRPr="00BF4F3C">
              <w:rPr>
                <w:rFonts w:ascii="Calibri" w:hAnsi="Calibri" w:cs="Calibri"/>
                <w:b/>
              </w:rPr>
              <w:t>S</w:t>
            </w:r>
          </w:p>
        </w:tc>
      </w:tr>
      <w:tr w:rsidR="006F68D0" w:rsidRPr="006F68D0" w:rsidTr="00BF4F3C">
        <w:tc>
          <w:tcPr>
            <w:tcW w:w="7196" w:type="dxa"/>
          </w:tcPr>
          <w:p w:rsidR="006F68D0" w:rsidRPr="006F68D0" w:rsidRDefault="006F68D0" w:rsidP="00AD1A5C">
            <w:pPr>
              <w:autoSpaceDE w:val="0"/>
              <w:autoSpaceDN w:val="0"/>
              <w:adjustRightInd w:val="0"/>
              <w:rPr>
                <w:rFonts w:ascii="Calibri" w:hAnsi="Calibri" w:cs="Calibri"/>
              </w:rPr>
            </w:pPr>
            <w:r>
              <w:rPr>
                <w:rFonts w:ascii="Calibri" w:hAnsi="Calibri" w:cs="Calibri"/>
              </w:rPr>
              <w:t>Mise en œuvre du plan de suivi et d’évaluation</w:t>
            </w:r>
          </w:p>
        </w:tc>
        <w:tc>
          <w:tcPr>
            <w:tcW w:w="2016" w:type="dxa"/>
          </w:tcPr>
          <w:p w:rsidR="006F68D0" w:rsidRPr="00BF4F3C" w:rsidRDefault="00913FEC" w:rsidP="00BF4F3C">
            <w:pPr>
              <w:autoSpaceDE w:val="0"/>
              <w:autoSpaceDN w:val="0"/>
              <w:adjustRightInd w:val="0"/>
              <w:jc w:val="center"/>
              <w:rPr>
                <w:rFonts w:ascii="Calibri" w:hAnsi="Calibri" w:cs="Calibri"/>
                <w:b/>
              </w:rPr>
            </w:pPr>
            <w:r w:rsidRPr="00BF4F3C">
              <w:rPr>
                <w:rFonts w:ascii="Calibri" w:hAnsi="Calibri" w:cs="Calibri"/>
                <w:b/>
              </w:rPr>
              <w:t>S</w:t>
            </w:r>
          </w:p>
        </w:tc>
      </w:tr>
      <w:tr w:rsidR="006F68D0" w:rsidRPr="006F68D0" w:rsidTr="00BF4F3C">
        <w:tc>
          <w:tcPr>
            <w:tcW w:w="7196" w:type="dxa"/>
          </w:tcPr>
          <w:p w:rsidR="006F68D0" w:rsidRPr="006F68D0" w:rsidRDefault="006F68D0" w:rsidP="00AD1A5C">
            <w:pPr>
              <w:autoSpaceDE w:val="0"/>
              <w:autoSpaceDN w:val="0"/>
              <w:adjustRightInd w:val="0"/>
              <w:rPr>
                <w:rFonts w:ascii="Calibri" w:hAnsi="Calibri" w:cs="Calibri"/>
              </w:rPr>
            </w:pPr>
            <w:r>
              <w:rPr>
                <w:rFonts w:ascii="Calibri" w:hAnsi="Calibri" w:cs="Calibri"/>
              </w:rPr>
              <w:t>Qualité globale du suivi et de l’évaluation</w:t>
            </w:r>
          </w:p>
        </w:tc>
        <w:tc>
          <w:tcPr>
            <w:tcW w:w="2016" w:type="dxa"/>
          </w:tcPr>
          <w:p w:rsidR="006F68D0" w:rsidRPr="00BF4F3C" w:rsidRDefault="00BF4F3C" w:rsidP="00BF4F3C">
            <w:pPr>
              <w:autoSpaceDE w:val="0"/>
              <w:autoSpaceDN w:val="0"/>
              <w:adjustRightInd w:val="0"/>
              <w:jc w:val="center"/>
              <w:rPr>
                <w:rFonts w:ascii="Calibri" w:hAnsi="Calibri" w:cs="Calibri"/>
                <w:b/>
              </w:rPr>
            </w:pPr>
            <w:r w:rsidRPr="00BF4F3C">
              <w:rPr>
                <w:rFonts w:ascii="Calibri" w:hAnsi="Calibri" w:cs="Calibri"/>
                <w:b/>
              </w:rPr>
              <w:t>S</w:t>
            </w:r>
          </w:p>
        </w:tc>
      </w:tr>
      <w:tr w:rsidR="006F68D0" w:rsidRPr="006F68D0" w:rsidTr="00BF4F3C">
        <w:tc>
          <w:tcPr>
            <w:tcW w:w="7196" w:type="dxa"/>
          </w:tcPr>
          <w:p w:rsidR="006F68D0" w:rsidRPr="006F68D0" w:rsidRDefault="006F68D0" w:rsidP="006F68D0">
            <w:pPr>
              <w:autoSpaceDE w:val="0"/>
              <w:autoSpaceDN w:val="0"/>
              <w:adjustRightInd w:val="0"/>
              <w:jc w:val="center"/>
              <w:rPr>
                <w:rFonts w:ascii="Calibri" w:hAnsi="Calibri" w:cs="Calibri"/>
                <w:b/>
              </w:rPr>
            </w:pPr>
            <w:r w:rsidRPr="006F68D0">
              <w:rPr>
                <w:rFonts w:ascii="Calibri" w:hAnsi="Calibri" w:cs="Calibri"/>
                <w:b/>
              </w:rPr>
              <w:t>Agence d’exécution – Agence de réalisation</w:t>
            </w:r>
          </w:p>
        </w:tc>
        <w:tc>
          <w:tcPr>
            <w:tcW w:w="2016" w:type="dxa"/>
          </w:tcPr>
          <w:p w:rsidR="006F68D0" w:rsidRPr="00BF4F3C" w:rsidRDefault="006F68D0" w:rsidP="00BF4F3C">
            <w:pPr>
              <w:autoSpaceDE w:val="0"/>
              <w:autoSpaceDN w:val="0"/>
              <w:adjustRightInd w:val="0"/>
              <w:jc w:val="center"/>
              <w:rPr>
                <w:rFonts w:ascii="Calibri" w:hAnsi="Calibri" w:cs="Calibri"/>
                <w:b/>
              </w:rPr>
            </w:pPr>
            <w:r w:rsidRPr="00BF4F3C">
              <w:rPr>
                <w:rFonts w:ascii="Calibri" w:hAnsi="Calibri" w:cs="Calibri"/>
                <w:b/>
              </w:rPr>
              <w:t>Notation</w:t>
            </w:r>
          </w:p>
        </w:tc>
      </w:tr>
      <w:tr w:rsidR="006F68D0" w:rsidRPr="006F68D0" w:rsidTr="00BF4F3C">
        <w:tc>
          <w:tcPr>
            <w:tcW w:w="7196" w:type="dxa"/>
          </w:tcPr>
          <w:p w:rsidR="006F68D0" w:rsidRPr="006F68D0" w:rsidRDefault="006F68D0" w:rsidP="00AD1A5C">
            <w:pPr>
              <w:autoSpaceDE w:val="0"/>
              <w:autoSpaceDN w:val="0"/>
              <w:adjustRightInd w:val="0"/>
              <w:rPr>
                <w:rFonts w:ascii="Calibri" w:hAnsi="Calibri" w:cs="Calibri"/>
              </w:rPr>
            </w:pPr>
            <w:r>
              <w:rPr>
                <w:rFonts w:ascii="Calibri" w:hAnsi="Calibri" w:cs="Calibri"/>
              </w:rPr>
              <w:t>Qualité de la mise en œuvre par le PNUD</w:t>
            </w:r>
          </w:p>
        </w:tc>
        <w:tc>
          <w:tcPr>
            <w:tcW w:w="2016" w:type="dxa"/>
          </w:tcPr>
          <w:p w:rsidR="006F68D0" w:rsidRPr="00BF4F3C" w:rsidRDefault="00BF4F3C" w:rsidP="00BF4F3C">
            <w:pPr>
              <w:autoSpaceDE w:val="0"/>
              <w:autoSpaceDN w:val="0"/>
              <w:adjustRightInd w:val="0"/>
              <w:jc w:val="center"/>
              <w:rPr>
                <w:rFonts w:ascii="Calibri" w:hAnsi="Calibri" w:cs="Calibri"/>
                <w:b/>
              </w:rPr>
            </w:pPr>
            <w:r w:rsidRPr="00BF4F3C">
              <w:rPr>
                <w:rFonts w:ascii="Calibri" w:hAnsi="Calibri" w:cs="Calibri"/>
                <w:b/>
              </w:rPr>
              <w:t>S</w:t>
            </w:r>
          </w:p>
        </w:tc>
      </w:tr>
      <w:tr w:rsidR="006F68D0" w:rsidRPr="006F68D0" w:rsidTr="00BF4F3C">
        <w:tc>
          <w:tcPr>
            <w:tcW w:w="7196" w:type="dxa"/>
          </w:tcPr>
          <w:p w:rsidR="006F68D0" w:rsidRPr="006F68D0" w:rsidRDefault="006F68D0" w:rsidP="00AD1A5C">
            <w:pPr>
              <w:autoSpaceDE w:val="0"/>
              <w:autoSpaceDN w:val="0"/>
              <w:adjustRightInd w:val="0"/>
              <w:rPr>
                <w:rFonts w:ascii="Calibri" w:hAnsi="Calibri" w:cs="Calibri"/>
              </w:rPr>
            </w:pPr>
            <w:r>
              <w:rPr>
                <w:rFonts w:ascii="Calibri" w:hAnsi="Calibri" w:cs="Calibri"/>
              </w:rPr>
              <w:t>Qualité de l’exécution du Ministère Délégué Chargé de l’Environnement</w:t>
            </w:r>
          </w:p>
        </w:tc>
        <w:tc>
          <w:tcPr>
            <w:tcW w:w="2016" w:type="dxa"/>
          </w:tcPr>
          <w:p w:rsidR="006F68D0" w:rsidRPr="00BF4F3C" w:rsidRDefault="00BF4F3C" w:rsidP="00BF4F3C">
            <w:pPr>
              <w:autoSpaceDE w:val="0"/>
              <w:autoSpaceDN w:val="0"/>
              <w:adjustRightInd w:val="0"/>
              <w:jc w:val="center"/>
              <w:rPr>
                <w:rFonts w:ascii="Calibri" w:hAnsi="Calibri" w:cs="Calibri"/>
                <w:b/>
              </w:rPr>
            </w:pPr>
            <w:r w:rsidRPr="00BF4F3C">
              <w:rPr>
                <w:rFonts w:ascii="Calibri" w:hAnsi="Calibri" w:cs="Calibri"/>
                <w:b/>
              </w:rPr>
              <w:t>S</w:t>
            </w:r>
          </w:p>
        </w:tc>
      </w:tr>
      <w:tr w:rsidR="006F68D0" w:rsidRPr="006F68D0" w:rsidTr="00BF4F3C">
        <w:tc>
          <w:tcPr>
            <w:tcW w:w="7196" w:type="dxa"/>
          </w:tcPr>
          <w:p w:rsidR="006F68D0" w:rsidRPr="006F68D0" w:rsidRDefault="006F68D0" w:rsidP="00AD1A5C">
            <w:pPr>
              <w:autoSpaceDE w:val="0"/>
              <w:autoSpaceDN w:val="0"/>
              <w:adjustRightInd w:val="0"/>
              <w:rPr>
                <w:rFonts w:ascii="Calibri" w:hAnsi="Calibri" w:cs="Calibri"/>
              </w:rPr>
            </w:pPr>
            <w:r>
              <w:rPr>
                <w:rFonts w:ascii="Calibri" w:hAnsi="Calibri" w:cs="Calibri"/>
              </w:rPr>
              <w:t>Qualité globale de la mise en œuvre et de l’exécution</w:t>
            </w:r>
          </w:p>
        </w:tc>
        <w:tc>
          <w:tcPr>
            <w:tcW w:w="2016" w:type="dxa"/>
          </w:tcPr>
          <w:p w:rsidR="006F68D0" w:rsidRPr="00BF4F3C" w:rsidRDefault="00BF4F3C" w:rsidP="00BF4F3C">
            <w:pPr>
              <w:autoSpaceDE w:val="0"/>
              <w:autoSpaceDN w:val="0"/>
              <w:adjustRightInd w:val="0"/>
              <w:jc w:val="center"/>
              <w:rPr>
                <w:rFonts w:ascii="Calibri" w:hAnsi="Calibri" w:cs="Calibri"/>
                <w:b/>
              </w:rPr>
            </w:pPr>
            <w:r w:rsidRPr="00BF4F3C">
              <w:rPr>
                <w:rFonts w:ascii="Calibri" w:hAnsi="Calibri" w:cs="Calibri"/>
                <w:b/>
              </w:rPr>
              <w:t>S</w:t>
            </w:r>
          </w:p>
        </w:tc>
      </w:tr>
      <w:tr w:rsidR="006F68D0" w:rsidRPr="006F68D0" w:rsidTr="00BF4F3C">
        <w:tc>
          <w:tcPr>
            <w:tcW w:w="7196" w:type="dxa"/>
          </w:tcPr>
          <w:p w:rsidR="006F68D0" w:rsidRPr="006F68D0" w:rsidRDefault="006F68D0" w:rsidP="006F68D0">
            <w:pPr>
              <w:autoSpaceDE w:val="0"/>
              <w:autoSpaceDN w:val="0"/>
              <w:adjustRightInd w:val="0"/>
              <w:jc w:val="center"/>
              <w:rPr>
                <w:rFonts w:ascii="Calibri" w:hAnsi="Calibri" w:cs="Calibri"/>
                <w:b/>
              </w:rPr>
            </w:pPr>
            <w:r w:rsidRPr="006F68D0">
              <w:rPr>
                <w:rFonts w:ascii="Calibri" w:hAnsi="Calibri" w:cs="Calibri"/>
                <w:b/>
              </w:rPr>
              <w:t>Résultats</w:t>
            </w:r>
          </w:p>
        </w:tc>
        <w:tc>
          <w:tcPr>
            <w:tcW w:w="2016" w:type="dxa"/>
          </w:tcPr>
          <w:p w:rsidR="006F68D0" w:rsidRPr="00BF4F3C" w:rsidRDefault="006F68D0" w:rsidP="00BF4F3C">
            <w:pPr>
              <w:autoSpaceDE w:val="0"/>
              <w:autoSpaceDN w:val="0"/>
              <w:adjustRightInd w:val="0"/>
              <w:jc w:val="center"/>
              <w:rPr>
                <w:rFonts w:ascii="Calibri" w:hAnsi="Calibri" w:cs="Calibri"/>
                <w:b/>
              </w:rPr>
            </w:pPr>
            <w:r w:rsidRPr="00BF4F3C">
              <w:rPr>
                <w:rFonts w:ascii="Calibri" w:hAnsi="Calibri" w:cs="Calibri"/>
                <w:b/>
              </w:rPr>
              <w:t>Notation</w:t>
            </w:r>
          </w:p>
        </w:tc>
      </w:tr>
      <w:tr w:rsidR="006F68D0" w:rsidRPr="006F68D0" w:rsidTr="00BF4F3C">
        <w:tc>
          <w:tcPr>
            <w:tcW w:w="7196" w:type="dxa"/>
          </w:tcPr>
          <w:p w:rsidR="006F68D0" w:rsidRPr="006F68D0" w:rsidRDefault="006F68D0" w:rsidP="00AD1A5C">
            <w:pPr>
              <w:autoSpaceDE w:val="0"/>
              <w:autoSpaceDN w:val="0"/>
              <w:adjustRightInd w:val="0"/>
              <w:rPr>
                <w:rFonts w:ascii="Calibri" w:hAnsi="Calibri" w:cs="Calibri"/>
              </w:rPr>
            </w:pPr>
            <w:r>
              <w:rPr>
                <w:rFonts w:ascii="Calibri" w:hAnsi="Calibri" w:cs="Calibri"/>
              </w:rPr>
              <w:t>Pertinence</w:t>
            </w:r>
            <w:r w:rsidR="00DE1A54">
              <w:rPr>
                <w:rStyle w:val="Appelnotedebasdep"/>
                <w:rFonts w:ascii="Calibri" w:hAnsi="Calibri" w:cs="Calibri"/>
              </w:rPr>
              <w:footnoteReference w:id="2"/>
            </w:r>
            <w:r>
              <w:rPr>
                <w:rFonts w:ascii="Calibri" w:hAnsi="Calibri" w:cs="Calibri"/>
              </w:rPr>
              <w:t xml:space="preserve"> (R : relevant – NR : non relevant)</w:t>
            </w:r>
          </w:p>
        </w:tc>
        <w:tc>
          <w:tcPr>
            <w:tcW w:w="2016" w:type="dxa"/>
          </w:tcPr>
          <w:p w:rsidR="006F68D0" w:rsidRPr="00BF4F3C" w:rsidRDefault="00913FEC" w:rsidP="00BF4F3C">
            <w:pPr>
              <w:autoSpaceDE w:val="0"/>
              <w:autoSpaceDN w:val="0"/>
              <w:adjustRightInd w:val="0"/>
              <w:jc w:val="center"/>
              <w:rPr>
                <w:rFonts w:ascii="Calibri" w:hAnsi="Calibri" w:cs="Calibri"/>
                <w:b/>
              </w:rPr>
            </w:pPr>
            <w:r w:rsidRPr="00BF4F3C">
              <w:rPr>
                <w:rFonts w:ascii="Calibri" w:hAnsi="Calibri" w:cs="Calibri"/>
                <w:b/>
              </w:rPr>
              <w:t>R</w:t>
            </w:r>
          </w:p>
        </w:tc>
      </w:tr>
      <w:tr w:rsidR="006F68D0" w:rsidRPr="006F68D0" w:rsidTr="00BF4F3C">
        <w:tc>
          <w:tcPr>
            <w:tcW w:w="7196" w:type="dxa"/>
          </w:tcPr>
          <w:p w:rsidR="006F68D0" w:rsidRPr="006F68D0" w:rsidRDefault="006F68D0" w:rsidP="00AD1A5C">
            <w:pPr>
              <w:autoSpaceDE w:val="0"/>
              <w:autoSpaceDN w:val="0"/>
              <w:adjustRightInd w:val="0"/>
              <w:rPr>
                <w:rFonts w:ascii="Calibri" w:hAnsi="Calibri" w:cs="Calibri"/>
              </w:rPr>
            </w:pPr>
            <w:r>
              <w:rPr>
                <w:rFonts w:ascii="Calibri" w:hAnsi="Calibri" w:cs="Calibri"/>
              </w:rPr>
              <w:t>Efficacité</w:t>
            </w:r>
            <w:r w:rsidR="00DE1A54">
              <w:rPr>
                <w:rStyle w:val="Appelnotedebasdep"/>
                <w:rFonts w:ascii="Calibri" w:hAnsi="Calibri" w:cs="Calibri"/>
              </w:rPr>
              <w:footnoteReference w:id="3"/>
            </w:r>
          </w:p>
        </w:tc>
        <w:tc>
          <w:tcPr>
            <w:tcW w:w="2016" w:type="dxa"/>
          </w:tcPr>
          <w:p w:rsidR="006F68D0" w:rsidRPr="00BF4F3C" w:rsidRDefault="00913FEC" w:rsidP="00BF4F3C">
            <w:pPr>
              <w:autoSpaceDE w:val="0"/>
              <w:autoSpaceDN w:val="0"/>
              <w:adjustRightInd w:val="0"/>
              <w:jc w:val="center"/>
              <w:rPr>
                <w:rFonts w:ascii="Calibri" w:hAnsi="Calibri" w:cs="Calibri"/>
                <w:b/>
              </w:rPr>
            </w:pPr>
            <w:r w:rsidRPr="00BF4F3C">
              <w:rPr>
                <w:rFonts w:ascii="Calibri" w:hAnsi="Calibri" w:cs="Calibri"/>
                <w:b/>
              </w:rPr>
              <w:t>S</w:t>
            </w:r>
          </w:p>
        </w:tc>
      </w:tr>
      <w:tr w:rsidR="006F68D0" w:rsidRPr="006F68D0" w:rsidTr="00BF4F3C">
        <w:tc>
          <w:tcPr>
            <w:tcW w:w="7196" w:type="dxa"/>
          </w:tcPr>
          <w:p w:rsidR="006F68D0" w:rsidRPr="006F68D0" w:rsidRDefault="006F68D0" w:rsidP="00AD1A5C">
            <w:pPr>
              <w:autoSpaceDE w:val="0"/>
              <w:autoSpaceDN w:val="0"/>
              <w:adjustRightInd w:val="0"/>
              <w:rPr>
                <w:rFonts w:ascii="Calibri" w:hAnsi="Calibri" w:cs="Calibri"/>
              </w:rPr>
            </w:pPr>
            <w:r>
              <w:rPr>
                <w:rFonts w:ascii="Calibri" w:hAnsi="Calibri" w:cs="Calibri"/>
              </w:rPr>
              <w:t>Efficience</w:t>
            </w:r>
            <w:r w:rsidR="00DE1A54">
              <w:rPr>
                <w:rStyle w:val="Appelnotedebasdep"/>
                <w:rFonts w:ascii="Calibri" w:hAnsi="Calibri" w:cs="Calibri"/>
              </w:rPr>
              <w:footnoteReference w:id="4"/>
            </w:r>
          </w:p>
        </w:tc>
        <w:tc>
          <w:tcPr>
            <w:tcW w:w="2016" w:type="dxa"/>
          </w:tcPr>
          <w:p w:rsidR="006F68D0" w:rsidRPr="00BF4F3C" w:rsidRDefault="005D4497" w:rsidP="00BF4F3C">
            <w:pPr>
              <w:autoSpaceDE w:val="0"/>
              <w:autoSpaceDN w:val="0"/>
              <w:adjustRightInd w:val="0"/>
              <w:jc w:val="center"/>
              <w:rPr>
                <w:rFonts w:ascii="Calibri" w:hAnsi="Calibri" w:cs="Calibri"/>
                <w:b/>
              </w:rPr>
            </w:pPr>
            <w:r>
              <w:rPr>
                <w:rFonts w:ascii="Calibri" w:hAnsi="Calibri" w:cs="Calibri"/>
                <w:b/>
              </w:rPr>
              <w:t>H</w:t>
            </w:r>
            <w:r w:rsidR="00913FEC" w:rsidRPr="00BF4F3C">
              <w:rPr>
                <w:rFonts w:ascii="Calibri" w:hAnsi="Calibri" w:cs="Calibri"/>
                <w:b/>
              </w:rPr>
              <w:t>S</w:t>
            </w:r>
          </w:p>
        </w:tc>
      </w:tr>
      <w:tr w:rsidR="006F68D0" w:rsidRPr="006F68D0" w:rsidTr="00BF4F3C">
        <w:tc>
          <w:tcPr>
            <w:tcW w:w="7196" w:type="dxa"/>
          </w:tcPr>
          <w:p w:rsidR="006F68D0" w:rsidRPr="006F68D0" w:rsidRDefault="006F68D0" w:rsidP="00AD1A5C">
            <w:pPr>
              <w:autoSpaceDE w:val="0"/>
              <w:autoSpaceDN w:val="0"/>
              <w:adjustRightInd w:val="0"/>
              <w:rPr>
                <w:rFonts w:ascii="Calibri" w:hAnsi="Calibri" w:cs="Calibri"/>
              </w:rPr>
            </w:pPr>
            <w:r>
              <w:rPr>
                <w:rFonts w:ascii="Calibri" w:hAnsi="Calibri" w:cs="Calibri"/>
              </w:rPr>
              <w:t>Qualité globale des résultats du projet</w:t>
            </w:r>
          </w:p>
        </w:tc>
        <w:tc>
          <w:tcPr>
            <w:tcW w:w="2016" w:type="dxa"/>
          </w:tcPr>
          <w:p w:rsidR="006F68D0" w:rsidRPr="00BF4F3C" w:rsidRDefault="00913FEC" w:rsidP="00BF4F3C">
            <w:pPr>
              <w:autoSpaceDE w:val="0"/>
              <w:autoSpaceDN w:val="0"/>
              <w:adjustRightInd w:val="0"/>
              <w:jc w:val="center"/>
              <w:rPr>
                <w:rFonts w:ascii="Calibri" w:hAnsi="Calibri" w:cs="Calibri"/>
                <w:b/>
              </w:rPr>
            </w:pPr>
            <w:r w:rsidRPr="00BF4F3C">
              <w:rPr>
                <w:rFonts w:ascii="Calibri" w:hAnsi="Calibri" w:cs="Calibri"/>
                <w:b/>
              </w:rPr>
              <w:t>S</w:t>
            </w:r>
          </w:p>
        </w:tc>
      </w:tr>
      <w:tr w:rsidR="006F68D0" w:rsidRPr="006F68D0" w:rsidTr="00BF4F3C">
        <w:tc>
          <w:tcPr>
            <w:tcW w:w="7196" w:type="dxa"/>
          </w:tcPr>
          <w:p w:rsidR="00755753" w:rsidRDefault="006F68D0" w:rsidP="00755753">
            <w:pPr>
              <w:autoSpaceDE w:val="0"/>
              <w:autoSpaceDN w:val="0"/>
              <w:adjustRightInd w:val="0"/>
              <w:rPr>
                <w:rFonts w:ascii="Calibri" w:hAnsi="Calibri" w:cs="Calibri"/>
                <w:b/>
              </w:rPr>
            </w:pPr>
            <w:r w:rsidRPr="006F68D0">
              <w:rPr>
                <w:rFonts w:ascii="Calibri" w:hAnsi="Calibri" w:cs="Calibri"/>
                <w:b/>
              </w:rPr>
              <w:lastRenderedPageBreak/>
              <w:t>Durabilité</w:t>
            </w:r>
            <w:r w:rsidR="00DE1A54">
              <w:rPr>
                <w:rStyle w:val="Appelnotedebasdep"/>
                <w:rFonts w:ascii="Calibri" w:hAnsi="Calibri" w:cs="Calibri"/>
                <w:b/>
              </w:rPr>
              <w:footnoteReference w:id="5"/>
            </w:r>
            <w:r w:rsidR="00755753">
              <w:rPr>
                <w:rFonts w:ascii="Calibri" w:hAnsi="Calibri" w:cs="Calibri"/>
                <w:b/>
              </w:rPr>
              <w:t xml:space="preserve"> : </w:t>
            </w:r>
          </w:p>
          <w:p w:rsidR="00755753" w:rsidRPr="00755753" w:rsidRDefault="00755753" w:rsidP="00755753">
            <w:pPr>
              <w:autoSpaceDE w:val="0"/>
              <w:autoSpaceDN w:val="0"/>
              <w:adjustRightInd w:val="0"/>
              <w:rPr>
                <w:rFonts w:cs="ACaslonPro-Regular"/>
                <w:color w:val="000000"/>
                <w:sz w:val="16"/>
                <w:szCs w:val="16"/>
              </w:rPr>
            </w:pPr>
            <w:r w:rsidRPr="00755753">
              <w:rPr>
                <w:rFonts w:cs="ACaslonPro-Regular"/>
                <w:color w:val="000000"/>
                <w:sz w:val="16"/>
                <w:szCs w:val="16"/>
              </w:rPr>
              <w:t xml:space="preserve">Notations de </w:t>
            </w:r>
            <w:r>
              <w:rPr>
                <w:rFonts w:cs="ACaslonPro-Regular"/>
                <w:color w:val="000000"/>
                <w:sz w:val="16"/>
                <w:szCs w:val="16"/>
              </w:rPr>
              <w:t xml:space="preserve">la </w:t>
            </w:r>
            <w:r w:rsidRPr="00755753">
              <w:rPr>
                <w:rFonts w:cs="ACaslonPro-Regular"/>
                <w:color w:val="000000"/>
                <w:sz w:val="16"/>
                <w:szCs w:val="16"/>
              </w:rPr>
              <w:t>durabilité :</w:t>
            </w:r>
          </w:p>
          <w:p w:rsidR="00755753" w:rsidRPr="00755753" w:rsidRDefault="00755753" w:rsidP="00755753">
            <w:pPr>
              <w:autoSpaceDE w:val="0"/>
              <w:autoSpaceDN w:val="0"/>
              <w:adjustRightInd w:val="0"/>
              <w:rPr>
                <w:rFonts w:cs="ACaslonPro-Regular"/>
                <w:color w:val="000000"/>
                <w:sz w:val="16"/>
                <w:szCs w:val="16"/>
              </w:rPr>
            </w:pPr>
            <w:r w:rsidRPr="00755753">
              <w:rPr>
                <w:rFonts w:cs="ACaslonPro-Regular"/>
                <w:color w:val="000000"/>
                <w:sz w:val="16"/>
                <w:szCs w:val="16"/>
              </w:rPr>
              <w:t>4 Probables (L) : risques négligeables pour la durabilité</w:t>
            </w:r>
          </w:p>
          <w:p w:rsidR="00755753" w:rsidRPr="00755753" w:rsidRDefault="00755753" w:rsidP="00755753">
            <w:pPr>
              <w:autoSpaceDE w:val="0"/>
              <w:autoSpaceDN w:val="0"/>
              <w:adjustRightInd w:val="0"/>
              <w:rPr>
                <w:rFonts w:cs="ACaslonPro-Regular"/>
                <w:color w:val="000000"/>
                <w:sz w:val="16"/>
                <w:szCs w:val="16"/>
              </w:rPr>
            </w:pPr>
            <w:r w:rsidRPr="00755753">
              <w:rPr>
                <w:rFonts w:cs="ACaslonPro-Regular"/>
                <w:color w:val="000000"/>
                <w:sz w:val="16"/>
                <w:szCs w:val="16"/>
              </w:rPr>
              <w:t>3 Moyennement probable (MP) : risques modérés</w:t>
            </w:r>
          </w:p>
          <w:p w:rsidR="00755753" w:rsidRPr="00755753" w:rsidRDefault="00755753" w:rsidP="00755753">
            <w:pPr>
              <w:autoSpaceDE w:val="0"/>
              <w:autoSpaceDN w:val="0"/>
              <w:adjustRightInd w:val="0"/>
              <w:rPr>
                <w:rFonts w:cs="ACaslonPro-Regular"/>
                <w:color w:val="000000"/>
                <w:sz w:val="16"/>
                <w:szCs w:val="16"/>
              </w:rPr>
            </w:pPr>
            <w:r w:rsidRPr="00755753">
              <w:rPr>
                <w:rFonts w:cs="ACaslonPro-Regular"/>
                <w:color w:val="000000"/>
                <w:sz w:val="16"/>
                <w:szCs w:val="16"/>
              </w:rPr>
              <w:t>2 Moyennement peu probable (MU) : des risques importants</w:t>
            </w:r>
          </w:p>
          <w:p w:rsidR="006F68D0" w:rsidRPr="006F68D0" w:rsidRDefault="00755753" w:rsidP="00755753">
            <w:pPr>
              <w:autoSpaceDE w:val="0"/>
              <w:autoSpaceDN w:val="0"/>
              <w:adjustRightInd w:val="0"/>
              <w:rPr>
                <w:rFonts w:ascii="Calibri" w:hAnsi="Calibri" w:cs="Calibri"/>
                <w:b/>
              </w:rPr>
            </w:pPr>
            <w:r w:rsidRPr="00755753">
              <w:rPr>
                <w:rFonts w:cs="ACaslonPro-Regular"/>
                <w:color w:val="000000"/>
                <w:sz w:val="16"/>
                <w:szCs w:val="16"/>
              </w:rPr>
              <w:t>1 Improbable (U) : risques graves</w:t>
            </w:r>
          </w:p>
        </w:tc>
        <w:tc>
          <w:tcPr>
            <w:tcW w:w="2016" w:type="dxa"/>
          </w:tcPr>
          <w:p w:rsidR="006F68D0" w:rsidRPr="00BF4F3C" w:rsidRDefault="006F68D0" w:rsidP="00BF4F3C">
            <w:pPr>
              <w:autoSpaceDE w:val="0"/>
              <w:autoSpaceDN w:val="0"/>
              <w:adjustRightInd w:val="0"/>
              <w:jc w:val="center"/>
              <w:rPr>
                <w:rFonts w:ascii="Calibri" w:hAnsi="Calibri" w:cs="Calibri"/>
                <w:b/>
              </w:rPr>
            </w:pPr>
            <w:r w:rsidRPr="00BF4F3C">
              <w:rPr>
                <w:rFonts w:ascii="Calibri" w:hAnsi="Calibri" w:cs="Calibri"/>
                <w:b/>
              </w:rPr>
              <w:t>Notation</w:t>
            </w:r>
          </w:p>
        </w:tc>
      </w:tr>
      <w:tr w:rsidR="006F68D0" w:rsidRPr="006F68D0" w:rsidTr="00BF4F3C">
        <w:tc>
          <w:tcPr>
            <w:tcW w:w="7196" w:type="dxa"/>
          </w:tcPr>
          <w:p w:rsidR="006F68D0" w:rsidRPr="006F68D0" w:rsidRDefault="006F68D0" w:rsidP="00AD1A5C">
            <w:pPr>
              <w:autoSpaceDE w:val="0"/>
              <w:autoSpaceDN w:val="0"/>
              <w:adjustRightInd w:val="0"/>
              <w:rPr>
                <w:rFonts w:ascii="Calibri" w:hAnsi="Calibri" w:cs="Calibri"/>
              </w:rPr>
            </w:pPr>
            <w:r>
              <w:rPr>
                <w:rFonts w:ascii="Calibri" w:hAnsi="Calibri" w:cs="Calibri"/>
              </w:rPr>
              <w:t>Ressources financières</w:t>
            </w:r>
          </w:p>
        </w:tc>
        <w:tc>
          <w:tcPr>
            <w:tcW w:w="2016" w:type="dxa"/>
          </w:tcPr>
          <w:p w:rsidR="006F68D0" w:rsidRPr="00BF4F3C" w:rsidRDefault="00755753" w:rsidP="00BF4F3C">
            <w:pPr>
              <w:autoSpaceDE w:val="0"/>
              <w:autoSpaceDN w:val="0"/>
              <w:adjustRightInd w:val="0"/>
              <w:jc w:val="center"/>
              <w:rPr>
                <w:rFonts w:ascii="Calibri" w:hAnsi="Calibri" w:cs="Calibri"/>
                <w:b/>
              </w:rPr>
            </w:pPr>
            <w:r>
              <w:rPr>
                <w:rFonts w:ascii="Calibri" w:hAnsi="Calibri" w:cs="Calibri"/>
                <w:b/>
              </w:rPr>
              <w:t>MP</w:t>
            </w:r>
          </w:p>
        </w:tc>
      </w:tr>
      <w:tr w:rsidR="006F68D0" w:rsidRPr="006F68D0" w:rsidTr="00BF4F3C">
        <w:tc>
          <w:tcPr>
            <w:tcW w:w="7196" w:type="dxa"/>
          </w:tcPr>
          <w:p w:rsidR="006F68D0" w:rsidRPr="006F68D0" w:rsidRDefault="006F68D0" w:rsidP="00AD1A5C">
            <w:pPr>
              <w:autoSpaceDE w:val="0"/>
              <w:autoSpaceDN w:val="0"/>
              <w:adjustRightInd w:val="0"/>
              <w:rPr>
                <w:rFonts w:ascii="Calibri" w:hAnsi="Calibri" w:cs="Calibri"/>
              </w:rPr>
            </w:pPr>
            <w:r>
              <w:rPr>
                <w:rFonts w:ascii="Calibri" w:hAnsi="Calibri" w:cs="Calibri"/>
              </w:rPr>
              <w:t>Cadre institutionnel et de gouvernance</w:t>
            </w:r>
          </w:p>
        </w:tc>
        <w:tc>
          <w:tcPr>
            <w:tcW w:w="2016" w:type="dxa"/>
          </w:tcPr>
          <w:p w:rsidR="006F68D0" w:rsidRPr="00BF4F3C" w:rsidRDefault="00755753" w:rsidP="00BF4F3C">
            <w:pPr>
              <w:autoSpaceDE w:val="0"/>
              <w:autoSpaceDN w:val="0"/>
              <w:adjustRightInd w:val="0"/>
              <w:jc w:val="center"/>
              <w:rPr>
                <w:rFonts w:ascii="Calibri" w:hAnsi="Calibri" w:cs="Calibri"/>
                <w:b/>
              </w:rPr>
            </w:pPr>
            <w:r>
              <w:rPr>
                <w:rFonts w:ascii="Calibri" w:hAnsi="Calibri" w:cs="Calibri"/>
                <w:b/>
              </w:rPr>
              <w:t>L</w:t>
            </w:r>
          </w:p>
        </w:tc>
      </w:tr>
      <w:tr w:rsidR="006F68D0" w:rsidRPr="006F68D0" w:rsidTr="00755753">
        <w:tc>
          <w:tcPr>
            <w:tcW w:w="7069" w:type="dxa"/>
          </w:tcPr>
          <w:p w:rsidR="006F68D0" w:rsidRPr="006F68D0" w:rsidRDefault="006F68D0" w:rsidP="00AD1A5C">
            <w:pPr>
              <w:autoSpaceDE w:val="0"/>
              <w:autoSpaceDN w:val="0"/>
              <w:adjustRightInd w:val="0"/>
              <w:rPr>
                <w:rFonts w:ascii="Calibri" w:hAnsi="Calibri" w:cs="Calibri"/>
              </w:rPr>
            </w:pPr>
            <w:r>
              <w:rPr>
                <w:rFonts w:ascii="Calibri" w:hAnsi="Calibri" w:cs="Calibri"/>
              </w:rPr>
              <w:t>Environnementale</w:t>
            </w:r>
          </w:p>
        </w:tc>
        <w:tc>
          <w:tcPr>
            <w:tcW w:w="1993" w:type="dxa"/>
          </w:tcPr>
          <w:p w:rsidR="006F68D0" w:rsidRPr="00BF4F3C" w:rsidRDefault="00755753" w:rsidP="00BF4F3C">
            <w:pPr>
              <w:autoSpaceDE w:val="0"/>
              <w:autoSpaceDN w:val="0"/>
              <w:adjustRightInd w:val="0"/>
              <w:jc w:val="center"/>
              <w:rPr>
                <w:rFonts w:ascii="Calibri" w:hAnsi="Calibri" w:cs="Calibri"/>
                <w:b/>
              </w:rPr>
            </w:pPr>
            <w:r>
              <w:rPr>
                <w:rFonts w:ascii="Calibri" w:hAnsi="Calibri" w:cs="Calibri"/>
                <w:b/>
              </w:rPr>
              <w:t>MP</w:t>
            </w:r>
          </w:p>
        </w:tc>
      </w:tr>
      <w:tr w:rsidR="006F68D0" w:rsidRPr="006F68D0" w:rsidTr="00755753">
        <w:tc>
          <w:tcPr>
            <w:tcW w:w="7069" w:type="dxa"/>
          </w:tcPr>
          <w:p w:rsidR="006F68D0" w:rsidRPr="006F68D0" w:rsidRDefault="006F68D0" w:rsidP="00AD1A5C">
            <w:pPr>
              <w:autoSpaceDE w:val="0"/>
              <w:autoSpaceDN w:val="0"/>
              <w:adjustRightInd w:val="0"/>
              <w:rPr>
                <w:rFonts w:ascii="Calibri" w:hAnsi="Calibri" w:cs="Calibri"/>
              </w:rPr>
            </w:pPr>
            <w:r>
              <w:rPr>
                <w:rFonts w:ascii="Calibri" w:hAnsi="Calibri" w:cs="Calibri"/>
              </w:rPr>
              <w:t>Probabilité globale de la durabili</w:t>
            </w:r>
            <w:r w:rsidR="00AB4545">
              <w:rPr>
                <w:rFonts w:ascii="Calibri" w:hAnsi="Calibri" w:cs="Calibri"/>
              </w:rPr>
              <w:t>t</w:t>
            </w:r>
            <w:r>
              <w:rPr>
                <w:rFonts w:ascii="Calibri" w:hAnsi="Calibri" w:cs="Calibri"/>
              </w:rPr>
              <w:t>é</w:t>
            </w:r>
          </w:p>
        </w:tc>
        <w:tc>
          <w:tcPr>
            <w:tcW w:w="1993" w:type="dxa"/>
          </w:tcPr>
          <w:p w:rsidR="006F68D0" w:rsidRPr="00BF4F3C" w:rsidRDefault="00755753" w:rsidP="00BF4F3C">
            <w:pPr>
              <w:autoSpaceDE w:val="0"/>
              <w:autoSpaceDN w:val="0"/>
              <w:adjustRightInd w:val="0"/>
              <w:jc w:val="center"/>
              <w:rPr>
                <w:rFonts w:ascii="Calibri" w:hAnsi="Calibri" w:cs="Calibri"/>
                <w:b/>
              </w:rPr>
            </w:pPr>
            <w:r>
              <w:rPr>
                <w:rFonts w:ascii="Calibri" w:hAnsi="Calibri" w:cs="Calibri"/>
                <w:b/>
              </w:rPr>
              <w:t>MP</w:t>
            </w:r>
          </w:p>
        </w:tc>
      </w:tr>
      <w:tr w:rsidR="006F68D0" w:rsidRPr="006F68D0" w:rsidTr="00755753">
        <w:tc>
          <w:tcPr>
            <w:tcW w:w="7069" w:type="dxa"/>
          </w:tcPr>
          <w:p w:rsidR="004B167C" w:rsidRDefault="006F68D0" w:rsidP="00AB4545">
            <w:pPr>
              <w:autoSpaceDE w:val="0"/>
              <w:autoSpaceDN w:val="0"/>
              <w:adjustRightInd w:val="0"/>
              <w:rPr>
                <w:rFonts w:ascii="Calibri" w:hAnsi="Calibri" w:cs="Calibri"/>
              </w:rPr>
            </w:pPr>
            <w:r w:rsidRPr="003C6F63">
              <w:rPr>
                <w:rFonts w:ascii="Calibri" w:hAnsi="Calibri" w:cs="Calibri"/>
                <w:b/>
              </w:rPr>
              <w:t>Impact</w:t>
            </w:r>
            <w:r w:rsidR="00DE1A54">
              <w:rPr>
                <w:rStyle w:val="Appelnotedebasdep"/>
                <w:rFonts w:ascii="Calibri" w:hAnsi="Calibri" w:cs="Calibri"/>
                <w:b/>
              </w:rPr>
              <w:footnoteReference w:id="6"/>
            </w:r>
            <w:r w:rsidR="003C6F63">
              <w:rPr>
                <w:rFonts w:ascii="Calibri" w:hAnsi="Calibri" w:cs="Calibri"/>
              </w:rPr>
              <w:t xml:space="preserve"> : </w:t>
            </w:r>
          </w:p>
          <w:p w:rsidR="006F68D0" w:rsidRPr="00755753" w:rsidRDefault="003C6F63" w:rsidP="00BF4F3C">
            <w:pPr>
              <w:autoSpaceDE w:val="0"/>
              <w:autoSpaceDN w:val="0"/>
              <w:adjustRightInd w:val="0"/>
              <w:rPr>
                <w:rFonts w:ascii="Calibri" w:hAnsi="Calibri" w:cs="Calibri"/>
                <w:sz w:val="18"/>
                <w:szCs w:val="18"/>
              </w:rPr>
            </w:pPr>
            <w:r w:rsidRPr="00755753">
              <w:rPr>
                <w:rFonts w:ascii="Calibri" w:hAnsi="Calibri" w:cs="Calibri"/>
                <w:sz w:val="18"/>
                <w:szCs w:val="18"/>
              </w:rPr>
              <w:t>S</w:t>
            </w:r>
            <w:r w:rsidR="00AB4545" w:rsidRPr="00755753">
              <w:rPr>
                <w:rFonts w:ascii="Calibri" w:hAnsi="Calibri" w:cs="Calibri"/>
                <w:sz w:val="18"/>
                <w:szCs w:val="18"/>
              </w:rPr>
              <w:t>ignificatif (S), Minimal (M),Né</w:t>
            </w:r>
            <w:r w:rsidRPr="00755753">
              <w:rPr>
                <w:rFonts w:ascii="Calibri" w:hAnsi="Calibri" w:cs="Calibri"/>
                <w:sz w:val="18"/>
                <w:szCs w:val="18"/>
              </w:rPr>
              <w:t>gligeable (N)</w:t>
            </w:r>
          </w:p>
        </w:tc>
        <w:tc>
          <w:tcPr>
            <w:tcW w:w="1993" w:type="dxa"/>
          </w:tcPr>
          <w:p w:rsidR="006F68D0" w:rsidRPr="00BF4F3C" w:rsidRDefault="003C6F63" w:rsidP="00BF4F3C">
            <w:pPr>
              <w:autoSpaceDE w:val="0"/>
              <w:autoSpaceDN w:val="0"/>
              <w:adjustRightInd w:val="0"/>
              <w:jc w:val="center"/>
              <w:rPr>
                <w:rFonts w:ascii="Calibri" w:hAnsi="Calibri" w:cs="Calibri"/>
                <w:b/>
              </w:rPr>
            </w:pPr>
            <w:r w:rsidRPr="00BF4F3C">
              <w:rPr>
                <w:rFonts w:ascii="Calibri" w:hAnsi="Calibri" w:cs="Calibri"/>
                <w:b/>
              </w:rPr>
              <w:t>Notation</w:t>
            </w:r>
          </w:p>
        </w:tc>
      </w:tr>
      <w:tr w:rsidR="006F68D0" w:rsidRPr="006F68D0" w:rsidTr="00755753">
        <w:tc>
          <w:tcPr>
            <w:tcW w:w="7069" w:type="dxa"/>
          </w:tcPr>
          <w:p w:rsidR="006F68D0" w:rsidRPr="006F68D0" w:rsidRDefault="003C6F63" w:rsidP="00AD1A5C">
            <w:pPr>
              <w:autoSpaceDE w:val="0"/>
              <w:autoSpaceDN w:val="0"/>
              <w:adjustRightInd w:val="0"/>
              <w:rPr>
                <w:rFonts w:ascii="Calibri" w:hAnsi="Calibri" w:cs="Calibri"/>
              </w:rPr>
            </w:pPr>
            <w:r>
              <w:rPr>
                <w:rFonts w:ascii="Calibri" w:hAnsi="Calibri" w:cs="Calibri"/>
              </w:rPr>
              <w:t>Amélioration du statut environnemental</w:t>
            </w:r>
          </w:p>
        </w:tc>
        <w:tc>
          <w:tcPr>
            <w:tcW w:w="1993" w:type="dxa"/>
          </w:tcPr>
          <w:p w:rsidR="006F68D0" w:rsidRPr="00BF4F3C" w:rsidRDefault="00BF4F3C" w:rsidP="00BF4F3C">
            <w:pPr>
              <w:autoSpaceDE w:val="0"/>
              <w:autoSpaceDN w:val="0"/>
              <w:adjustRightInd w:val="0"/>
              <w:jc w:val="center"/>
              <w:rPr>
                <w:rFonts w:ascii="Calibri" w:hAnsi="Calibri" w:cs="Calibri"/>
                <w:b/>
              </w:rPr>
            </w:pPr>
            <w:r>
              <w:rPr>
                <w:rFonts w:ascii="Calibri" w:hAnsi="Calibri" w:cs="Calibri"/>
                <w:b/>
              </w:rPr>
              <w:t>M</w:t>
            </w:r>
          </w:p>
        </w:tc>
      </w:tr>
      <w:tr w:rsidR="006F68D0" w:rsidRPr="006F68D0" w:rsidTr="00755753">
        <w:tc>
          <w:tcPr>
            <w:tcW w:w="7069" w:type="dxa"/>
          </w:tcPr>
          <w:p w:rsidR="006F68D0" w:rsidRPr="006F68D0" w:rsidRDefault="003C6F63" w:rsidP="00AD1A5C">
            <w:pPr>
              <w:autoSpaceDE w:val="0"/>
              <w:autoSpaceDN w:val="0"/>
              <w:adjustRightInd w:val="0"/>
              <w:rPr>
                <w:rFonts w:ascii="Calibri" w:hAnsi="Calibri" w:cs="Calibri"/>
              </w:rPr>
            </w:pPr>
            <w:r>
              <w:rPr>
                <w:rFonts w:ascii="Calibri" w:hAnsi="Calibri" w:cs="Calibri"/>
              </w:rPr>
              <w:t>Réduction du stress sur l’environnement</w:t>
            </w:r>
          </w:p>
        </w:tc>
        <w:tc>
          <w:tcPr>
            <w:tcW w:w="1993" w:type="dxa"/>
          </w:tcPr>
          <w:p w:rsidR="006F68D0" w:rsidRPr="00BF4F3C" w:rsidRDefault="00BF4F3C" w:rsidP="00BF4F3C">
            <w:pPr>
              <w:autoSpaceDE w:val="0"/>
              <w:autoSpaceDN w:val="0"/>
              <w:adjustRightInd w:val="0"/>
              <w:jc w:val="center"/>
              <w:rPr>
                <w:rFonts w:ascii="Calibri" w:hAnsi="Calibri" w:cs="Calibri"/>
                <w:b/>
              </w:rPr>
            </w:pPr>
            <w:r>
              <w:rPr>
                <w:rFonts w:ascii="Calibri" w:hAnsi="Calibri" w:cs="Calibri"/>
                <w:b/>
              </w:rPr>
              <w:t>S</w:t>
            </w:r>
          </w:p>
        </w:tc>
      </w:tr>
      <w:tr w:rsidR="006F68D0" w:rsidRPr="006F68D0" w:rsidTr="00755753">
        <w:tc>
          <w:tcPr>
            <w:tcW w:w="7069" w:type="dxa"/>
          </w:tcPr>
          <w:p w:rsidR="006F68D0" w:rsidRPr="006F68D0" w:rsidRDefault="003C6F63" w:rsidP="00AD1A5C">
            <w:pPr>
              <w:autoSpaceDE w:val="0"/>
              <w:autoSpaceDN w:val="0"/>
              <w:adjustRightInd w:val="0"/>
              <w:rPr>
                <w:rFonts w:ascii="Calibri" w:hAnsi="Calibri" w:cs="Calibri"/>
              </w:rPr>
            </w:pPr>
            <w:r>
              <w:rPr>
                <w:rFonts w:ascii="Calibri" w:hAnsi="Calibri" w:cs="Calibri"/>
              </w:rPr>
              <w:t>Progrès envers le changement du stress-statut</w:t>
            </w:r>
          </w:p>
        </w:tc>
        <w:tc>
          <w:tcPr>
            <w:tcW w:w="1993" w:type="dxa"/>
          </w:tcPr>
          <w:p w:rsidR="006F68D0" w:rsidRPr="00BF4F3C" w:rsidRDefault="00BF4F3C" w:rsidP="00BF4F3C">
            <w:pPr>
              <w:autoSpaceDE w:val="0"/>
              <w:autoSpaceDN w:val="0"/>
              <w:adjustRightInd w:val="0"/>
              <w:jc w:val="center"/>
              <w:rPr>
                <w:rFonts w:ascii="Calibri" w:hAnsi="Calibri" w:cs="Calibri"/>
                <w:b/>
              </w:rPr>
            </w:pPr>
            <w:r>
              <w:rPr>
                <w:rFonts w:ascii="Calibri" w:hAnsi="Calibri" w:cs="Calibri"/>
                <w:b/>
              </w:rPr>
              <w:t>S</w:t>
            </w:r>
          </w:p>
        </w:tc>
      </w:tr>
    </w:tbl>
    <w:p w:rsidR="005F317A" w:rsidRDefault="005F317A" w:rsidP="00AD1A5C">
      <w:pPr>
        <w:autoSpaceDE w:val="0"/>
        <w:autoSpaceDN w:val="0"/>
        <w:adjustRightInd w:val="0"/>
        <w:spacing w:after="0" w:line="240" w:lineRule="auto"/>
        <w:rPr>
          <w:rFonts w:ascii="Calibri" w:hAnsi="Calibri" w:cs="Calibri"/>
          <w:color w:val="949699"/>
        </w:rPr>
      </w:pPr>
    </w:p>
    <w:p w:rsidR="00BF4F3C" w:rsidRPr="008926F2" w:rsidRDefault="008926F2" w:rsidP="008926F2">
      <w:pPr>
        <w:autoSpaceDE w:val="0"/>
        <w:autoSpaceDN w:val="0"/>
        <w:adjustRightInd w:val="0"/>
        <w:spacing w:after="0" w:line="240" w:lineRule="auto"/>
        <w:jc w:val="both"/>
        <w:rPr>
          <w:rFonts w:cs="ACaslonPro-Regular"/>
          <w:color w:val="000000"/>
        </w:rPr>
      </w:pPr>
      <w:r w:rsidRPr="008926F2">
        <w:rPr>
          <w:rFonts w:cs="ACaslonPro-Regular"/>
          <w:color w:val="000000"/>
        </w:rPr>
        <w:t>L’impact socio-économique du projet n’est pas considéré dans cette analyse car le projet CB2 ne finance aucune activité économique.</w:t>
      </w:r>
    </w:p>
    <w:p w:rsidR="008926F2" w:rsidRPr="00755753" w:rsidRDefault="008926F2" w:rsidP="00755753">
      <w:pPr>
        <w:autoSpaceDE w:val="0"/>
        <w:autoSpaceDN w:val="0"/>
        <w:adjustRightInd w:val="0"/>
        <w:spacing w:after="0" w:line="240" w:lineRule="auto"/>
        <w:rPr>
          <w:rFonts w:cs="ACaslonPro-Regular"/>
          <w:color w:val="000000"/>
          <w:sz w:val="16"/>
          <w:szCs w:val="16"/>
        </w:rPr>
      </w:pPr>
    </w:p>
    <w:p w:rsidR="00AD1A5C" w:rsidRPr="005E04CA" w:rsidRDefault="00AD1A5C" w:rsidP="005E04CA">
      <w:pPr>
        <w:pStyle w:val="Titre1"/>
        <w:spacing w:before="0"/>
        <w:rPr>
          <w:rFonts w:asciiTheme="minorHAnsi" w:hAnsiTheme="minorHAnsi" w:cs="ACaslonPro-Regular"/>
          <w:color w:val="000000"/>
          <w:sz w:val="22"/>
          <w:szCs w:val="22"/>
        </w:rPr>
      </w:pPr>
      <w:bookmarkStart w:id="4" w:name="_Toc425414549"/>
      <w:r w:rsidRPr="005E04CA">
        <w:rPr>
          <w:rFonts w:asciiTheme="minorHAnsi" w:hAnsiTheme="minorHAnsi" w:cs="ACaslonPro-Regular"/>
          <w:color w:val="000000"/>
          <w:sz w:val="22"/>
          <w:szCs w:val="22"/>
        </w:rPr>
        <w:t xml:space="preserve">Résumé des conclusions, des </w:t>
      </w:r>
      <w:r w:rsidR="005F317A" w:rsidRPr="005E04CA">
        <w:rPr>
          <w:rFonts w:asciiTheme="minorHAnsi" w:hAnsiTheme="minorHAnsi" w:cs="ACaslonPro-Regular"/>
          <w:color w:val="000000"/>
          <w:sz w:val="22"/>
          <w:szCs w:val="22"/>
        </w:rPr>
        <w:t xml:space="preserve">enseignements </w:t>
      </w:r>
      <w:r w:rsidRPr="005E04CA">
        <w:rPr>
          <w:rFonts w:asciiTheme="minorHAnsi" w:hAnsiTheme="minorHAnsi" w:cs="ACaslonPro-Regular"/>
          <w:color w:val="000000"/>
          <w:sz w:val="22"/>
          <w:szCs w:val="22"/>
        </w:rPr>
        <w:t xml:space="preserve">et des </w:t>
      </w:r>
      <w:r w:rsidR="005F317A" w:rsidRPr="005E04CA">
        <w:rPr>
          <w:rFonts w:asciiTheme="minorHAnsi" w:hAnsiTheme="minorHAnsi" w:cs="ACaslonPro-Regular"/>
          <w:color w:val="000000"/>
          <w:sz w:val="22"/>
          <w:szCs w:val="22"/>
        </w:rPr>
        <w:t>recommandations</w:t>
      </w:r>
      <w:bookmarkEnd w:id="4"/>
    </w:p>
    <w:p w:rsidR="005F317A" w:rsidRDefault="005F317A" w:rsidP="00AD1A5C">
      <w:pPr>
        <w:autoSpaceDE w:val="0"/>
        <w:autoSpaceDN w:val="0"/>
        <w:adjustRightInd w:val="0"/>
        <w:spacing w:after="0" w:line="240" w:lineRule="auto"/>
        <w:rPr>
          <w:rFonts w:cs="MyriadPro-Bold"/>
          <w:b/>
          <w:bCs/>
          <w:color w:val="000000"/>
        </w:rPr>
      </w:pPr>
    </w:p>
    <w:p w:rsidR="006C559D" w:rsidRPr="005E04CA" w:rsidRDefault="005F317A" w:rsidP="005E04CA">
      <w:pPr>
        <w:pStyle w:val="Titre2"/>
        <w:spacing w:before="0"/>
        <w:rPr>
          <w:rFonts w:asciiTheme="minorHAnsi" w:hAnsiTheme="minorHAnsi" w:cs="MyriadPro-Bold"/>
          <w:bCs w:val="0"/>
          <w:color w:val="000000"/>
          <w:sz w:val="22"/>
          <w:szCs w:val="22"/>
        </w:rPr>
      </w:pPr>
      <w:bookmarkStart w:id="5" w:name="_Toc425414550"/>
      <w:r w:rsidRPr="005E04CA">
        <w:rPr>
          <w:rFonts w:asciiTheme="minorHAnsi" w:hAnsiTheme="minorHAnsi" w:cs="MyriadPro-Bold"/>
          <w:bCs w:val="0"/>
          <w:color w:val="000000"/>
          <w:sz w:val="22"/>
          <w:szCs w:val="22"/>
        </w:rPr>
        <w:t>Conclusions</w:t>
      </w:r>
      <w:bookmarkEnd w:id="5"/>
    </w:p>
    <w:p w:rsidR="00C42E79" w:rsidRDefault="00C42E79" w:rsidP="00733C02">
      <w:pPr>
        <w:autoSpaceDE w:val="0"/>
        <w:autoSpaceDN w:val="0"/>
        <w:adjustRightInd w:val="0"/>
        <w:spacing w:after="0" w:line="240" w:lineRule="auto"/>
        <w:jc w:val="both"/>
        <w:rPr>
          <w:rFonts w:cs="MyriadPro-Bold"/>
          <w:bCs/>
          <w:color w:val="000000"/>
        </w:rPr>
      </w:pPr>
    </w:p>
    <w:p w:rsidR="002C6CA1" w:rsidRDefault="002C6CA1" w:rsidP="00733C02">
      <w:pPr>
        <w:autoSpaceDE w:val="0"/>
        <w:autoSpaceDN w:val="0"/>
        <w:adjustRightInd w:val="0"/>
        <w:spacing w:after="0" w:line="240" w:lineRule="auto"/>
        <w:jc w:val="both"/>
        <w:rPr>
          <w:rFonts w:cs="MyriadPro-Bold"/>
          <w:bCs/>
          <w:color w:val="000000"/>
        </w:rPr>
      </w:pPr>
      <w:r w:rsidRPr="007625D5">
        <w:rPr>
          <w:rFonts w:cs="MyriadPro-Bold"/>
          <w:bCs/>
          <w:color w:val="000000"/>
        </w:rPr>
        <w:t xml:space="preserve">Le projet CB2 répond à une priorité nationale de renforcement des capacités des acteurs locaux (collectivités et autorités) pour leur permettre de mieux traduire </w:t>
      </w:r>
      <w:r w:rsidR="00ED64A4" w:rsidRPr="007625D5">
        <w:rPr>
          <w:rFonts w:cs="MyriadPro-Bold"/>
          <w:bCs/>
          <w:color w:val="000000"/>
        </w:rPr>
        <w:t xml:space="preserve">par des actions concrètes, </w:t>
      </w:r>
      <w:r w:rsidRPr="007625D5">
        <w:rPr>
          <w:rFonts w:cs="MyriadPro-Bold"/>
          <w:bCs/>
          <w:color w:val="000000"/>
        </w:rPr>
        <w:t xml:space="preserve">les engagements nationaux à l’égard des trois Conventions </w:t>
      </w:r>
      <w:r w:rsidR="00ED64A4" w:rsidRPr="007625D5">
        <w:rPr>
          <w:rFonts w:cs="MyriadPro-Bold"/>
          <w:bCs/>
          <w:color w:val="000000"/>
        </w:rPr>
        <w:t xml:space="preserve">de Rio </w:t>
      </w:r>
      <w:r w:rsidRPr="007625D5">
        <w:rPr>
          <w:rFonts w:cs="MyriadPro-Bold"/>
          <w:bCs/>
          <w:color w:val="000000"/>
        </w:rPr>
        <w:t>en actions locales concrètes.</w:t>
      </w:r>
    </w:p>
    <w:p w:rsidR="002C6CA1" w:rsidRDefault="002C6CA1" w:rsidP="00733C02">
      <w:pPr>
        <w:autoSpaceDE w:val="0"/>
        <w:autoSpaceDN w:val="0"/>
        <w:adjustRightInd w:val="0"/>
        <w:spacing w:after="0" w:line="240" w:lineRule="auto"/>
        <w:jc w:val="both"/>
        <w:rPr>
          <w:rFonts w:cs="MyriadPro-Bold"/>
          <w:bCs/>
          <w:color w:val="000000"/>
        </w:rPr>
      </w:pPr>
    </w:p>
    <w:p w:rsidR="00850870" w:rsidRDefault="00733C02" w:rsidP="00733C02">
      <w:pPr>
        <w:autoSpaceDE w:val="0"/>
        <w:autoSpaceDN w:val="0"/>
        <w:adjustRightInd w:val="0"/>
        <w:spacing w:after="0" w:line="240" w:lineRule="auto"/>
        <w:jc w:val="both"/>
        <w:rPr>
          <w:rFonts w:cs="MyriadPro-Bold"/>
          <w:bCs/>
          <w:color w:val="000000"/>
        </w:rPr>
      </w:pPr>
      <w:r>
        <w:rPr>
          <w:rFonts w:cs="MyriadPro-Bold"/>
          <w:bCs/>
          <w:color w:val="000000"/>
        </w:rPr>
        <w:t>Le projet CB2 est un projet ambitieux dans ses objectifs et ses résultats escomptés eu regard aux ressources qui lui sont allouées. En effet, l</w:t>
      </w:r>
      <w:r w:rsidRPr="00733C02">
        <w:rPr>
          <w:rFonts w:cs="MyriadPro-Bold"/>
          <w:bCs/>
          <w:color w:val="000000"/>
        </w:rPr>
        <w:t xml:space="preserve">’objectif du projet </w:t>
      </w:r>
      <w:r>
        <w:rPr>
          <w:rFonts w:cs="MyriadPro-Bold"/>
          <w:bCs/>
          <w:color w:val="000000"/>
        </w:rPr>
        <w:t>étant</w:t>
      </w:r>
      <w:r w:rsidRPr="00733C02">
        <w:rPr>
          <w:rFonts w:cs="MyriadPro-Bold"/>
          <w:bCs/>
          <w:color w:val="000000"/>
        </w:rPr>
        <w:t xml:space="preserve"> d’intégrer les objectifs </w:t>
      </w:r>
      <w:r>
        <w:rPr>
          <w:rFonts w:cs="MyriadPro-Bold"/>
          <w:bCs/>
          <w:color w:val="000000"/>
        </w:rPr>
        <w:t>e</w:t>
      </w:r>
      <w:r w:rsidRPr="00733C02">
        <w:rPr>
          <w:rFonts w:cs="MyriadPro-Bold"/>
          <w:bCs/>
          <w:color w:val="000000"/>
        </w:rPr>
        <w:t>nvironnementaux mondiaux dans les programmes de</w:t>
      </w:r>
      <w:r w:rsidR="00091FF1" w:rsidRPr="00091FF1">
        <w:rPr>
          <w:rFonts w:cs="MyriadPro-Bold"/>
          <w:bCs/>
          <w:color w:val="000000"/>
        </w:rPr>
        <w:t xml:space="preserve"> l’Initiative Nationale pour le Développement Humain</w:t>
      </w:r>
      <w:r w:rsidR="00091FF1">
        <w:rPr>
          <w:rFonts w:cs="MyriadPro-Bold"/>
          <w:bCs/>
          <w:color w:val="000000"/>
        </w:rPr>
        <w:t xml:space="preserve"> (</w:t>
      </w:r>
      <w:r w:rsidRPr="00733C02">
        <w:rPr>
          <w:rFonts w:cs="MyriadPro-Bold"/>
          <w:bCs/>
          <w:color w:val="000000"/>
        </w:rPr>
        <w:t>INDH</w:t>
      </w:r>
      <w:r w:rsidR="00091FF1">
        <w:rPr>
          <w:rFonts w:cs="MyriadPro-Bold"/>
          <w:bCs/>
          <w:color w:val="000000"/>
        </w:rPr>
        <w:t>)</w:t>
      </w:r>
      <w:r w:rsidRPr="00733C02">
        <w:rPr>
          <w:rFonts w:cs="MyriadPro-Bold"/>
          <w:bCs/>
          <w:color w:val="000000"/>
        </w:rPr>
        <w:t xml:space="preserve"> et dans la planification stratégique locale (</w:t>
      </w:r>
      <w:r w:rsidR="00091FF1">
        <w:rPr>
          <w:rFonts w:cs="MyriadPro-Bold"/>
          <w:bCs/>
          <w:color w:val="000000"/>
        </w:rPr>
        <w:t xml:space="preserve">Plan communaux de développement - </w:t>
      </w:r>
      <w:r w:rsidRPr="00733C02">
        <w:rPr>
          <w:rFonts w:cs="MyriadPro-Bold"/>
          <w:bCs/>
          <w:color w:val="000000"/>
        </w:rPr>
        <w:t>PCD), ainsi que dans les process</w:t>
      </w:r>
      <w:r>
        <w:rPr>
          <w:rFonts w:cs="MyriadPro-Bold"/>
          <w:bCs/>
          <w:color w:val="000000"/>
        </w:rPr>
        <w:t>us de budgétisation et de suivi, aurait pu se limiter dans sa mise en œuvre à une seule région et une dizaine de communes pour piloter la démarche</w:t>
      </w:r>
      <w:r w:rsidR="007D5EFC">
        <w:rPr>
          <w:rFonts w:cs="MyriadPro-Bold"/>
          <w:bCs/>
          <w:color w:val="000000"/>
        </w:rPr>
        <w:t xml:space="preserve"> d’intégration de l’environnement mondial à l’échelle locale (démarche</w:t>
      </w:r>
      <w:r>
        <w:rPr>
          <w:rFonts w:cs="MyriadPro-Bold"/>
          <w:bCs/>
          <w:color w:val="000000"/>
        </w:rPr>
        <w:t xml:space="preserve"> IEL</w:t>
      </w:r>
      <w:r w:rsidR="007D5EFC">
        <w:rPr>
          <w:rFonts w:cs="MyriadPro-Bold"/>
          <w:bCs/>
          <w:color w:val="000000"/>
        </w:rPr>
        <w:t>)</w:t>
      </w:r>
      <w:r w:rsidR="00ED64A4">
        <w:rPr>
          <w:rFonts w:cs="MyriadPro-Bold"/>
          <w:bCs/>
          <w:color w:val="000000"/>
        </w:rPr>
        <w:t> ;d</w:t>
      </w:r>
      <w:r>
        <w:rPr>
          <w:rFonts w:cs="MyriadPro-Bold"/>
          <w:bCs/>
          <w:color w:val="000000"/>
        </w:rPr>
        <w:t>’autant plus que le ProDoc ne spécifiait</w:t>
      </w:r>
      <w:r w:rsidR="00C42E79">
        <w:rPr>
          <w:rFonts w:cs="MyriadPro-Bold"/>
          <w:bCs/>
          <w:color w:val="000000"/>
        </w:rPr>
        <w:t xml:space="preserve"> pas</w:t>
      </w:r>
      <w:r>
        <w:rPr>
          <w:rFonts w:cs="MyriadPro-Bold"/>
          <w:bCs/>
          <w:color w:val="000000"/>
        </w:rPr>
        <w:t xml:space="preserve"> l’étendue de la zone d’intervention. Cependant, l’équipe du projet s’est assigné la tâche de développer le projet au niveau de trois régions et 35 communes pilotes. </w:t>
      </w:r>
    </w:p>
    <w:p w:rsidR="005F317A" w:rsidRDefault="00733C02" w:rsidP="00733C02">
      <w:pPr>
        <w:autoSpaceDE w:val="0"/>
        <w:autoSpaceDN w:val="0"/>
        <w:adjustRightInd w:val="0"/>
        <w:spacing w:after="0" w:line="240" w:lineRule="auto"/>
        <w:jc w:val="both"/>
        <w:rPr>
          <w:rFonts w:cs="MyriadPro-Bold"/>
          <w:bCs/>
          <w:color w:val="000000"/>
        </w:rPr>
      </w:pPr>
      <w:r>
        <w:rPr>
          <w:rFonts w:cs="MyriadPro-Bold"/>
          <w:bCs/>
          <w:color w:val="000000"/>
        </w:rPr>
        <w:t xml:space="preserve">La gestion </w:t>
      </w:r>
      <w:r w:rsidR="00C42E79">
        <w:rPr>
          <w:rFonts w:cs="MyriadPro-Bold"/>
          <w:bCs/>
          <w:color w:val="000000"/>
        </w:rPr>
        <w:t xml:space="preserve">efficace </w:t>
      </w:r>
      <w:r>
        <w:rPr>
          <w:rFonts w:cs="MyriadPro-Bold"/>
          <w:bCs/>
          <w:color w:val="000000"/>
        </w:rPr>
        <w:t xml:space="preserve">du projet </w:t>
      </w:r>
      <w:r w:rsidR="00C42E79">
        <w:rPr>
          <w:rFonts w:cs="MyriadPro-Bold"/>
          <w:bCs/>
          <w:color w:val="000000"/>
        </w:rPr>
        <w:t>par les</w:t>
      </w:r>
      <w:r>
        <w:rPr>
          <w:rFonts w:cs="MyriadPro-Bold"/>
          <w:bCs/>
          <w:color w:val="000000"/>
        </w:rPr>
        <w:t xml:space="preserve"> membres de l’</w:t>
      </w:r>
      <w:r w:rsidR="00091FF1">
        <w:rPr>
          <w:rFonts w:cs="MyriadPro-Bold"/>
          <w:bCs/>
          <w:color w:val="000000"/>
        </w:rPr>
        <w:t>unité de gestion du projet (</w:t>
      </w:r>
      <w:r>
        <w:rPr>
          <w:rFonts w:cs="MyriadPro-Bold"/>
          <w:bCs/>
          <w:color w:val="000000"/>
        </w:rPr>
        <w:t>UGP</w:t>
      </w:r>
      <w:r w:rsidR="00091FF1">
        <w:rPr>
          <w:rFonts w:cs="MyriadPro-Bold"/>
          <w:bCs/>
          <w:color w:val="000000"/>
        </w:rPr>
        <w:t>)</w:t>
      </w:r>
      <w:r>
        <w:rPr>
          <w:rFonts w:cs="MyriadPro-Bold"/>
          <w:bCs/>
          <w:color w:val="000000"/>
        </w:rPr>
        <w:t xml:space="preserve"> avec l’appui du PNUD </w:t>
      </w:r>
      <w:r w:rsidR="002C6CA1">
        <w:rPr>
          <w:rFonts w:cs="MyriadPro-Bold"/>
          <w:bCs/>
          <w:color w:val="000000"/>
        </w:rPr>
        <w:t>a</w:t>
      </w:r>
      <w:r w:rsidR="00C42E79">
        <w:rPr>
          <w:rFonts w:cs="MyriadPro-Bold"/>
          <w:bCs/>
          <w:color w:val="000000"/>
        </w:rPr>
        <w:t xml:space="preserve"> permis </w:t>
      </w:r>
      <w:r w:rsidR="00ED64A4" w:rsidRPr="007625D5">
        <w:rPr>
          <w:rFonts w:cs="MyriadPro-Bold"/>
          <w:bCs/>
          <w:color w:val="000000"/>
        </w:rPr>
        <w:t>d’utiliser de manière très efficiente les</w:t>
      </w:r>
      <w:r w:rsidR="00C42E79" w:rsidRPr="007625D5">
        <w:rPr>
          <w:rFonts w:cs="MyriadPro-Bold"/>
          <w:bCs/>
          <w:color w:val="000000"/>
        </w:rPr>
        <w:t xml:space="preserve"> budgets alloués et d’at</w:t>
      </w:r>
      <w:r w:rsidR="00850870">
        <w:rPr>
          <w:rFonts w:cs="MyriadPro-Bold"/>
          <w:bCs/>
          <w:color w:val="000000"/>
        </w:rPr>
        <w:t>teindre les résultats escomptés qui sont résumés comme suit :</w:t>
      </w:r>
    </w:p>
    <w:p w:rsidR="00C42E79" w:rsidRDefault="00C42E79" w:rsidP="00733C02">
      <w:pPr>
        <w:autoSpaceDE w:val="0"/>
        <w:autoSpaceDN w:val="0"/>
        <w:adjustRightInd w:val="0"/>
        <w:spacing w:after="0" w:line="240" w:lineRule="auto"/>
        <w:jc w:val="both"/>
        <w:rPr>
          <w:rFonts w:cs="MyriadPro-Bold"/>
          <w:bCs/>
          <w:color w:val="000000"/>
        </w:rPr>
      </w:pPr>
    </w:p>
    <w:p w:rsidR="00850870" w:rsidRPr="00850870" w:rsidRDefault="00850870" w:rsidP="00850870">
      <w:pPr>
        <w:pStyle w:val="Paragraphedeliste"/>
        <w:numPr>
          <w:ilvl w:val="0"/>
          <w:numId w:val="17"/>
        </w:numPr>
        <w:autoSpaceDE w:val="0"/>
        <w:autoSpaceDN w:val="0"/>
        <w:adjustRightInd w:val="0"/>
        <w:spacing w:after="0" w:line="240" w:lineRule="auto"/>
        <w:jc w:val="both"/>
        <w:rPr>
          <w:rFonts w:cs="MyriadPro-Bold"/>
          <w:bCs/>
          <w:color w:val="000000"/>
        </w:rPr>
      </w:pPr>
      <w:r w:rsidRPr="00850870">
        <w:rPr>
          <w:rFonts w:cs="MyriadPro-Bold"/>
          <w:bCs/>
          <w:color w:val="000000"/>
        </w:rPr>
        <w:t>Le cadre institutionnel pour l’intégration de la gestion des problèmes d’environnement mondial dans les procédures de planification et de suivi de l’INDH et de planification stratégique locale est développé</w:t>
      </w:r>
      <w:r>
        <w:rPr>
          <w:rFonts w:cs="MyriadPro-Bold"/>
          <w:bCs/>
          <w:color w:val="000000"/>
        </w:rPr>
        <w:t>.</w:t>
      </w:r>
    </w:p>
    <w:p w:rsidR="00850870" w:rsidRDefault="00850870" w:rsidP="00850870">
      <w:pPr>
        <w:pStyle w:val="Paragraphedeliste"/>
        <w:autoSpaceDE w:val="0"/>
        <w:autoSpaceDN w:val="0"/>
        <w:adjustRightInd w:val="0"/>
        <w:spacing w:after="0" w:line="240" w:lineRule="auto"/>
        <w:ind w:left="1068"/>
        <w:jc w:val="both"/>
        <w:rPr>
          <w:rFonts w:cs="MyriadPro-Bold"/>
          <w:bCs/>
          <w:color w:val="000000"/>
        </w:rPr>
      </w:pPr>
      <w:r w:rsidRPr="00850870">
        <w:rPr>
          <w:rFonts w:cs="MyriadPro-Bold"/>
          <w:bCs/>
          <w:color w:val="000000"/>
          <w:u w:val="single"/>
        </w:rPr>
        <w:t>Indicateur 1</w:t>
      </w:r>
      <w:r>
        <w:rPr>
          <w:rFonts w:cs="MyriadPro-Bold"/>
          <w:bCs/>
          <w:color w:val="000000"/>
        </w:rPr>
        <w:t xml:space="preserve"> : </w:t>
      </w:r>
      <w:r w:rsidRPr="00850870">
        <w:rPr>
          <w:rFonts w:cs="MyriadPro-Bold"/>
          <w:bCs/>
          <w:color w:val="000000"/>
        </w:rPr>
        <w:t>Le nombre d’outils ciblés par l’indicateur 1 a été dépassé. Cependant, les acteurs clés de l’INDH n’ont pas adopté ces outils.</w:t>
      </w:r>
    </w:p>
    <w:p w:rsidR="00850870" w:rsidRPr="00850870" w:rsidRDefault="00850870" w:rsidP="00850870">
      <w:pPr>
        <w:pStyle w:val="Paragraphedeliste"/>
        <w:autoSpaceDE w:val="0"/>
        <w:autoSpaceDN w:val="0"/>
        <w:adjustRightInd w:val="0"/>
        <w:spacing w:after="0" w:line="240" w:lineRule="auto"/>
        <w:ind w:left="1068"/>
        <w:jc w:val="both"/>
        <w:rPr>
          <w:rFonts w:cs="MyriadPro-Bold"/>
          <w:bCs/>
          <w:color w:val="000000"/>
        </w:rPr>
      </w:pPr>
      <w:r w:rsidRPr="00850870">
        <w:rPr>
          <w:rFonts w:cs="MyriadPro-Bold"/>
          <w:bCs/>
          <w:color w:val="000000"/>
          <w:u w:val="single"/>
        </w:rPr>
        <w:t>Indicateur 2</w:t>
      </w:r>
      <w:r w:rsidRPr="00850870">
        <w:rPr>
          <w:rFonts w:cs="MyriadPro-Bold"/>
          <w:bCs/>
          <w:color w:val="000000"/>
        </w:rPr>
        <w:t xml:space="preserve"> : La création des GREET constitue un mécanisme efficace de coordination entre les institutions clés concernées par l’intégration de la démarche IEL.</w:t>
      </w:r>
    </w:p>
    <w:p w:rsidR="00850870" w:rsidRPr="00850870" w:rsidRDefault="00850870" w:rsidP="00850870">
      <w:pPr>
        <w:pStyle w:val="Paragraphedeliste"/>
        <w:autoSpaceDE w:val="0"/>
        <w:autoSpaceDN w:val="0"/>
        <w:adjustRightInd w:val="0"/>
        <w:spacing w:after="0" w:line="240" w:lineRule="auto"/>
        <w:ind w:left="1068"/>
        <w:jc w:val="both"/>
        <w:rPr>
          <w:rFonts w:cs="MyriadPro-Bold"/>
          <w:bCs/>
          <w:color w:val="000000"/>
        </w:rPr>
      </w:pPr>
      <w:r w:rsidRPr="00850870">
        <w:rPr>
          <w:rFonts w:cs="MyriadPro-Bold"/>
          <w:bCs/>
          <w:color w:val="000000"/>
          <w:u w:val="single"/>
        </w:rPr>
        <w:lastRenderedPageBreak/>
        <w:t>Indicateur 3</w:t>
      </w:r>
      <w:r w:rsidRPr="00850870">
        <w:rPr>
          <w:rFonts w:cs="MyriadPro-Bold"/>
          <w:bCs/>
          <w:color w:val="000000"/>
        </w:rPr>
        <w:t xml:space="preserve"> : Les PCD des communes pilotes ont été développés à la lumière de la démarche IEL. Les indicateurs de suivi ont été identifiés pour chacun d’entre eux. Les termes de références pour la réalisation de l’étude de verdissement des SIC et l’identification des modalités de jonction entre le SIC et le SIRE, sont élaborés. Cependant, ces PCD n’ont pas encore été adoptés par les conseils des communes. De ce fait, les indicateurs ne sont pas pris en compte dans les SIC. En outre, aucune</w:t>
      </w:r>
      <w:r w:rsidR="007D5EFC">
        <w:rPr>
          <w:rFonts w:cs="MyriadPro-Bold"/>
          <w:bCs/>
          <w:color w:val="000000"/>
        </w:rPr>
        <w:t xml:space="preserve"> Initiative Locale de Développement Humain(</w:t>
      </w:r>
      <w:r w:rsidRPr="00850870">
        <w:rPr>
          <w:rFonts w:cs="MyriadPro-Bold"/>
          <w:bCs/>
          <w:color w:val="000000"/>
        </w:rPr>
        <w:t>ILDH</w:t>
      </w:r>
      <w:r w:rsidR="007D5EFC">
        <w:rPr>
          <w:rFonts w:cs="MyriadPro-Bold"/>
          <w:bCs/>
          <w:color w:val="000000"/>
        </w:rPr>
        <w:t>)</w:t>
      </w:r>
      <w:r w:rsidRPr="00850870">
        <w:rPr>
          <w:rFonts w:cs="MyriadPro-Bold"/>
          <w:bCs/>
          <w:color w:val="000000"/>
        </w:rPr>
        <w:t xml:space="preserve"> n’a été élaborée en intégrant la démarche IEL.</w:t>
      </w:r>
    </w:p>
    <w:p w:rsidR="00850870" w:rsidRPr="00850870" w:rsidRDefault="00850870" w:rsidP="00850870">
      <w:pPr>
        <w:pStyle w:val="Paragraphedeliste"/>
        <w:numPr>
          <w:ilvl w:val="0"/>
          <w:numId w:val="17"/>
        </w:numPr>
        <w:autoSpaceDE w:val="0"/>
        <w:autoSpaceDN w:val="0"/>
        <w:adjustRightInd w:val="0"/>
        <w:spacing w:after="0" w:line="240" w:lineRule="auto"/>
        <w:jc w:val="both"/>
        <w:rPr>
          <w:rFonts w:cs="MyriadPro-Bold"/>
          <w:bCs/>
          <w:color w:val="000000"/>
        </w:rPr>
      </w:pPr>
      <w:r w:rsidRPr="00850870">
        <w:rPr>
          <w:rFonts w:cs="MyriadPro-Bold"/>
          <w:bCs/>
          <w:color w:val="000000"/>
        </w:rPr>
        <w:t>Les capacités d’intégration systématique des cibles environnementales mondiales dans la planification locale sont renforcées</w:t>
      </w:r>
    </w:p>
    <w:p w:rsidR="00E13E4E" w:rsidRPr="00E13E4E" w:rsidRDefault="00E13E4E" w:rsidP="00E13E4E">
      <w:pPr>
        <w:autoSpaceDE w:val="0"/>
        <w:autoSpaceDN w:val="0"/>
        <w:adjustRightInd w:val="0"/>
        <w:spacing w:after="0" w:line="240" w:lineRule="auto"/>
        <w:ind w:left="1134"/>
        <w:jc w:val="both"/>
        <w:rPr>
          <w:rFonts w:cs="MyriadPro-Bold"/>
          <w:bCs/>
          <w:color w:val="000000"/>
        </w:rPr>
      </w:pPr>
      <w:r w:rsidRPr="00E13E4E">
        <w:rPr>
          <w:rFonts w:cs="MyriadPro-Bold"/>
          <w:bCs/>
          <w:color w:val="000000"/>
          <w:u w:val="single"/>
        </w:rPr>
        <w:t>Indicateur 1</w:t>
      </w:r>
      <w:r w:rsidRPr="00E13E4E">
        <w:rPr>
          <w:rFonts w:cs="MyriadPro-Bold"/>
          <w:bCs/>
          <w:color w:val="000000"/>
        </w:rPr>
        <w:t xml:space="preserve"> : 62 institutions et au moins 200 cadres disposent des capacités pour l’intégration de la démarche IEL au niveau des trois régions pilotes.</w:t>
      </w:r>
    </w:p>
    <w:p w:rsidR="00E13E4E" w:rsidRPr="00E13E4E" w:rsidRDefault="00E13E4E" w:rsidP="00E13E4E">
      <w:pPr>
        <w:autoSpaceDE w:val="0"/>
        <w:autoSpaceDN w:val="0"/>
        <w:adjustRightInd w:val="0"/>
        <w:spacing w:after="0" w:line="240" w:lineRule="auto"/>
        <w:ind w:left="1134"/>
        <w:jc w:val="both"/>
        <w:rPr>
          <w:rFonts w:cs="MyriadPro-Bold"/>
          <w:bCs/>
          <w:color w:val="000000"/>
        </w:rPr>
      </w:pPr>
      <w:r w:rsidRPr="00E13E4E">
        <w:rPr>
          <w:rFonts w:cs="MyriadPro-Bold"/>
          <w:bCs/>
          <w:color w:val="000000"/>
          <w:u w:val="single"/>
        </w:rPr>
        <w:t>Indicateur 2</w:t>
      </w:r>
      <w:r w:rsidRPr="00E13E4E">
        <w:rPr>
          <w:rFonts w:cs="MyriadPro-Bold"/>
          <w:bCs/>
          <w:color w:val="000000"/>
        </w:rPr>
        <w:t xml:space="preserve"> : 31 PCD intègrent de manière systématique les priorités de l’environnement mondial. Cependant, aucune ILDH n’a intégré la démarche IEL.</w:t>
      </w:r>
    </w:p>
    <w:p w:rsidR="00E13E4E" w:rsidRPr="00E13E4E" w:rsidRDefault="00E13E4E" w:rsidP="00E13E4E">
      <w:pPr>
        <w:autoSpaceDE w:val="0"/>
        <w:autoSpaceDN w:val="0"/>
        <w:adjustRightInd w:val="0"/>
        <w:spacing w:after="0" w:line="240" w:lineRule="auto"/>
        <w:ind w:left="1134"/>
        <w:jc w:val="both"/>
        <w:rPr>
          <w:rFonts w:cs="MyriadPro-Bold"/>
          <w:bCs/>
          <w:color w:val="000000"/>
        </w:rPr>
      </w:pPr>
      <w:r w:rsidRPr="00E13E4E">
        <w:rPr>
          <w:rFonts w:cs="MyriadPro-Bold"/>
          <w:bCs/>
          <w:color w:val="000000"/>
          <w:u w:val="single"/>
        </w:rPr>
        <w:t>Indicateur 3</w:t>
      </w:r>
      <w:r w:rsidRPr="00E13E4E">
        <w:rPr>
          <w:rFonts w:cs="MyriadPro-Bold"/>
          <w:bCs/>
          <w:color w:val="000000"/>
        </w:rPr>
        <w:t xml:space="preserve"> : Les PCD des communes pilotes qui ont intégré la démarche IEL présentent une budgétisation et une programmation annuelle. Cependant, ces PCD n’ont pas encore été soumis à l’adoption par les conseils communaux. En outre, aucune ILDH n’a intégré la démarche IEL.</w:t>
      </w:r>
    </w:p>
    <w:p w:rsidR="00850870" w:rsidRPr="00E13E4E" w:rsidRDefault="00E13E4E" w:rsidP="00E13E4E">
      <w:pPr>
        <w:autoSpaceDE w:val="0"/>
        <w:autoSpaceDN w:val="0"/>
        <w:adjustRightInd w:val="0"/>
        <w:spacing w:after="0" w:line="240" w:lineRule="auto"/>
        <w:ind w:left="1134"/>
        <w:jc w:val="both"/>
        <w:rPr>
          <w:rFonts w:cs="MyriadPro-Bold"/>
          <w:bCs/>
          <w:color w:val="000000"/>
        </w:rPr>
      </w:pPr>
      <w:r w:rsidRPr="00E13E4E">
        <w:rPr>
          <w:rFonts w:cs="MyriadPro-Bold"/>
          <w:bCs/>
          <w:color w:val="000000"/>
          <w:u w:val="single"/>
        </w:rPr>
        <w:t>Indicateur 4</w:t>
      </w:r>
      <w:r w:rsidRPr="00E13E4E">
        <w:rPr>
          <w:rFonts w:cs="MyriadPro-Bold"/>
          <w:bCs/>
          <w:color w:val="000000"/>
        </w:rPr>
        <w:t xml:space="preserve"> : La stratégie de généralisation n’est pas élaborée à la date de l’évaluation finale du projet CB2. Elle est en cours. Cependant, le </w:t>
      </w:r>
      <w:r w:rsidR="007D5EFC">
        <w:rPr>
          <w:rFonts w:cs="MyriadPro-Bold"/>
          <w:bCs/>
          <w:color w:val="000000"/>
        </w:rPr>
        <w:t>Ministère Délégué Chargé de l’Environnement (</w:t>
      </w:r>
      <w:r w:rsidRPr="00E13E4E">
        <w:rPr>
          <w:rFonts w:cs="MyriadPro-Bold"/>
          <w:bCs/>
          <w:color w:val="000000"/>
        </w:rPr>
        <w:t>MDCE</w:t>
      </w:r>
      <w:r w:rsidR="007D5EFC">
        <w:rPr>
          <w:rFonts w:cs="MyriadPro-Bold"/>
          <w:bCs/>
          <w:color w:val="000000"/>
        </w:rPr>
        <w:t>)</w:t>
      </w:r>
      <w:r w:rsidRPr="00E13E4E">
        <w:rPr>
          <w:rFonts w:cs="MyriadPro-Bold"/>
          <w:bCs/>
          <w:color w:val="000000"/>
        </w:rPr>
        <w:t xml:space="preserve"> a budgétisé 1 MDH pour assurer la formation des formateurs sur les outils méthodologiques développés dans le cadre du projet CB2. Le MDCE est en contact avec la </w:t>
      </w:r>
      <w:r w:rsidR="00B60036" w:rsidRPr="00B60036">
        <w:rPr>
          <w:rFonts w:cs="MyriadPro-Bold"/>
          <w:bCs/>
          <w:color w:val="000000"/>
        </w:rPr>
        <w:t xml:space="preserve">Direction de la Formation des Cadres administratifs et techniques </w:t>
      </w:r>
      <w:r w:rsidR="00B60036">
        <w:rPr>
          <w:rFonts w:cs="MyriadPro-Bold"/>
          <w:bCs/>
          <w:color w:val="000000"/>
        </w:rPr>
        <w:t>rattachée à la Direction Géné</w:t>
      </w:r>
      <w:r w:rsidR="00AF3FEE">
        <w:rPr>
          <w:rFonts w:cs="MyriadPro-Bold"/>
          <w:bCs/>
          <w:color w:val="000000"/>
        </w:rPr>
        <w:t xml:space="preserve">rale des Collectivités Locales </w:t>
      </w:r>
      <w:r w:rsidR="00AF3FEE" w:rsidRPr="00AF3FEE">
        <w:rPr>
          <w:rFonts w:cs="MyriadPro-Bold"/>
          <w:bCs/>
          <w:color w:val="000000"/>
        </w:rPr>
        <w:t>(DGCL/DFCAT)</w:t>
      </w:r>
      <w:r w:rsidRPr="00E13E4E">
        <w:rPr>
          <w:rFonts w:cs="MyriadPro-Bold"/>
          <w:bCs/>
          <w:color w:val="000000"/>
        </w:rPr>
        <w:t xml:space="preserve"> pour élaborer le plan de formation des formateurs qui seront les </w:t>
      </w:r>
      <w:r w:rsidR="00E57AA8">
        <w:rPr>
          <w:rFonts w:cs="MyriadPro-Bold"/>
          <w:bCs/>
          <w:color w:val="000000"/>
        </w:rPr>
        <w:t xml:space="preserve">200 cadres dont </w:t>
      </w:r>
      <w:r w:rsidRPr="00E13E4E">
        <w:rPr>
          <w:rFonts w:cs="MyriadPro-Bold"/>
          <w:bCs/>
          <w:color w:val="000000"/>
        </w:rPr>
        <w:t>95 Agents de Développement Provincial-Préfectoral (ADP).</w:t>
      </w:r>
    </w:p>
    <w:p w:rsidR="00091FF1" w:rsidRPr="00091FF1" w:rsidRDefault="00850870" w:rsidP="00850870">
      <w:pPr>
        <w:autoSpaceDE w:val="0"/>
        <w:autoSpaceDN w:val="0"/>
        <w:adjustRightInd w:val="0"/>
        <w:spacing w:after="0" w:line="240" w:lineRule="auto"/>
        <w:jc w:val="both"/>
        <w:rPr>
          <w:rFonts w:cs="MyriadPro-Bold"/>
          <w:bCs/>
          <w:color w:val="000000"/>
        </w:rPr>
      </w:pPr>
      <w:r w:rsidRPr="00850870">
        <w:rPr>
          <w:rFonts w:cs="MyriadPro-Bold"/>
          <w:bCs/>
          <w:color w:val="000000"/>
        </w:rPr>
        <w:t>3.</w:t>
      </w:r>
      <w:r w:rsidRPr="00850870">
        <w:rPr>
          <w:rFonts w:cs="MyriadPro-Bold"/>
          <w:bCs/>
          <w:color w:val="000000"/>
        </w:rPr>
        <w:tab/>
        <w:t>Un système de gestion adaptive et des leçons tirées du projet établi</w:t>
      </w:r>
      <w:r w:rsidR="00091FF1" w:rsidRPr="00091FF1">
        <w:rPr>
          <w:rFonts w:cs="MyriadPro-Bold"/>
          <w:bCs/>
          <w:color w:val="000000"/>
        </w:rPr>
        <w:t>.</w:t>
      </w:r>
    </w:p>
    <w:p w:rsidR="007D5EFC" w:rsidRPr="007D5EFC" w:rsidRDefault="007D5EFC" w:rsidP="007D5EFC">
      <w:pPr>
        <w:autoSpaceDE w:val="0"/>
        <w:autoSpaceDN w:val="0"/>
        <w:adjustRightInd w:val="0"/>
        <w:spacing w:after="0" w:line="240" w:lineRule="auto"/>
        <w:ind w:left="1134"/>
        <w:jc w:val="both"/>
        <w:rPr>
          <w:rFonts w:cs="MyriadPro-Bold"/>
          <w:bCs/>
          <w:color w:val="000000"/>
        </w:rPr>
      </w:pPr>
      <w:r w:rsidRPr="007D5EFC">
        <w:rPr>
          <w:rFonts w:cs="MyriadPro-Bold"/>
          <w:bCs/>
          <w:color w:val="000000"/>
        </w:rPr>
        <w:t xml:space="preserve">Indicateur </w:t>
      </w:r>
      <w:r>
        <w:rPr>
          <w:rFonts w:cs="MyriadPro-Bold"/>
          <w:bCs/>
          <w:color w:val="000000"/>
        </w:rPr>
        <w:t>1 :L’é</w:t>
      </w:r>
      <w:r w:rsidRPr="007D5EFC">
        <w:rPr>
          <w:rFonts w:cs="MyriadPro-Bold"/>
          <w:bCs/>
          <w:color w:val="000000"/>
        </w:rPr>
        <w:t xml:space="preserve">quipe du projet </w:t>
      </w:r>
      <w:r>
        <w:rPr>
          <w:rFonts w:cs="MyriadPro-Bold"/>
          <w:bCs/>
          <w:color w:val="000000"/>
        </w:rPr>
        <w:t xml:space="preserve">est </w:t>
      </w:r>
      <w:r w:rsidRPr="007D5EFC">
        <w:rPr>
          <w:rFonts w:cs="MyriadPro-Bold"/>
          <w:bCs/>
          <w:color w:val="000000"/>
        </w:rPr>
        <w:t>mise en place</w:t>
      </w:r>
    </w:p>
    <w:p w:rsidR="007D5EFC" w:rsidRPr="007D5EFC" w:rsidRDefault="007D5EFC" w:rsidP="007D5EFC">
      <w:pPr>
        <w:autoSpaceDE w:val="0"/>
        <w:autoSpaceDN w:val="0"/>
        <w:adjustRightInd w:val="0"/>
        <w:spacing w:after="0" w:line="240" w:lineRule="auto"/>
        <w:ind w:left="1134"/>
        <w:jc w:val="both"/>
        <w:rPr>
          <w:rFonts w:cs="MyriadPro-Bold"/>
          <w:bCs/>
          <w:color w:val="000000"/>
        </w:rPr>
      </w:pPr>
      <w:r w:rsidRPr="007D5EFC">
        <w:rPr>
          <w:rFonts w:cs="MyriadPro-Bold"/>
          <w:bCs/>
          <w:color w:val="000000"/>
        </w:rPr>
        <w:t xml:space="preserve">Indicateur </w:t>
      </w:r>
      <w:r>
        <w:rPr>
          <w:rFonts w:cs="MyriadPro-Bold"/>
          <w:bCs/>
          <w:color w:val="000000"/>
        </w:rPr>
        <w:t>2 :Le s</w:t>
      </w:r>
      <w:r w:rsidRPr="007D5EFC">
        <w:rPr>
          <w:rFonts w:cs="MyriadPro-Bold"/>
          <w:bCs/>
          <w:color w:val="000000"/>
        </w:rPr>
        <w:t xml:space="preserve">ystème d’assurance qualité </w:t>
      </w:r>
      <w:r>
        <w:rPr>
          <w:rFonts w:cs="MyriadPro-Bold"/>
          <w:bCs/>
          <w:color w:val="000000"/>
        </w:rPr>
        <w:t xml:space="preserve">est </w:t>
      </w:r>
      <w:r w:rsidRPr="007D5EFC">
        <w:rPr>
          <w:rFonts w:cs="MyriadPro-Bold"/>
          <w:bCs/>
          <w:color w:val="000000"/>
        </w:rPr>
        <w:t>opérationnel</w:t>
      </w:r>
    </w:p>
    <w:p w:rsidR="00091FF1" w:rsidRDefault="007D5EFC" w:rsidP="007D5EFC">
      <w:pPr>
        <w:autoSpaceDE w:val="0"/>
        <w:autoSpaceDN w:val="0"/>
        <w:adjustRightInd w:val="0"/>
        <w:spacing w:after="0" w:line="240" w:lineRule="auto"/>
        <w:ind w:left="1134"/>
        <w:jc w:val="both"/>
        <w:rPr>
          <w:rFonts w:cs="MyriadPro-Bold"/>
          <w:bCs/>
          <w:color w:val="000000"/>
        </w:rPr>
      </w:pPr>
      <w:r w:rsidRPr="007D5EFC">
        <w:rPr>
          <w:rFonts w:cs="MyriadPro-Bold"/>
          <w:bCs/>
          <w:color w:val="000000"/>
        </w:rPr>
        <w:t xml:space="preserve">Indicateur </w:t>
      </w:r>
      <w:r>
        <w:rPr>
          <w:rFonts w:cs="MyriadPro-Bold"/>
          <w:bCs/>
          <w:color w:val="000000"/>
        </w:rPr>
        <w:t>3 :</w:t>
      </w:r>
      <w:r w:rsidRPr="007D5EFC">
        <w:rPr>
          <w:rFonts w:cs="MyriadPro-Bold"/>
          <w:bCs/>
          <w:color w:val="000000"/>
        </w:rPr>
        <w:t xml:space="preserve"> Des mécanismes de gestion des connaissances, de partage de l’information et de dissémination des capacités requises pour la reproductibilité des résultats du projet sont mis en place.</w:t>
      </w:r>
    </w:p>
    <w:p w:rsidR="00091FF1" w:rsidRDefault="00091FF1" w:rsidP="00733C02">
      <w:pPr>
        <w:autoSpaceDE w:val="0"/>
        <w:autoSpaceDN w:val="0"/>
        <w:adjustRightInd w:val="0"/>
        <w:spacing w:after="0" w:line="240" w:lineRule="auto"/>
        <w:jc w:val="both"/>
        <w:rPr>
          <w:rFonts w:cs="MyriadPro-Bold"/>
          <w:bCs/>
          <w:color w:val="000000"/>
        </w:rPr>
      </w:pPr>
    </w:p>
    <w:p w:rsidR="00C42E79" w:rsidRDefault="00824C57" w:rsidP="00733C02">
      <w:pPr>
        <w:autoSpaceDE w:val="0"/>
        <w:autoSpaceDN w:val="0"/>
        <w:adjustRightInd w:val="0"/>
        <w:spacing w:after="0" w:line="240" w:lineRule="auto"/>
        <w:jc w:val="both"/>
        <w:rPr>
          <w:rFonts w:cs="MyriadPro-Bold"/>
          <w:bCs/>
          <w:color w:val="000000"/>
        </w:rPr>
      </w:pPr>
      <w:r>
        <w:rPr>
          <w:rFonts w:cs="MyriadPro-Bold"/>
          <w:bCs/>
          <w:color w:val="000000"/>
        </w:rPr>
        <w:t xml:space="preserve">Cependant, </w:t>
      </w:r>
      <w:r w:rsidR="00C42E79">
        <w:rPr>
          <w:rFonts w:cs="MyriadPro-Bold"/>
          <w:bCs/>
          <w:color w:val="000000"/>
        </w:rPr>
        <w:t xml:space="preserve">aucune ILDH n’a bénéficié de la démarche IEL. Ce constat peut être amélioré en incitant les </w:t>
      </w:r>
      <w:r w:rsidR="00C42E79" w:rsidRPr="007625D5">
        <w:rPr>
          <w:rFonts w:cs="MyriadPro-Bold"/>
          <w:bCs/>
          <w:color w:val="000000"/>
        </w:rPr>
        <w:t xml:space="preserve">communes pilotes ciblées par l’INDH </w:t>
      </w:r>
      <w:r w:rsidR="00ED64A4" w:rsidRPr="007625D5">
        <w:rPr>
          <w:rFonts w:cs="MyriadPro-Bold"/>
          <w:bCs/>
          <w:color w:val="000000"/>
        </w:rPr>
        <w:t>à</w:t>
      </w:r>
      <w:r w:rsidR="00C42E79" w:rsidRPr="007625D5">
        <w:rPr>
          <w:rFonts w:cs="MyriadPro-Bold"/>
          <w:bCs/>
          <w:color w:val="000000"/>
        </w:rPr>
        <w:t xml:space="preserve"> reprendre l’exercice de verdissement des PCD et de l’appliquer à leurs</w:t>
      </w:r>
      <w:r w:rsidR="00ED64A4" w:rsidRPr="007625D5">
        <w:rPr>
          <w:rFonts w:cs="MyriadPro-Bold"/>
          <w:bCs/>
          <w:color w:val="000000"/>
        </w:rPr>
        <w:t xml:space="preserve"> ILDH respectifs, mais c</w:t>
      </w:r>
      <w:r w:rsidR="00C42E79" w:rsidRPr="007625D5">
        <w:rPr>
          <w:rFonts w:cs="MyriadPro-Bold"/>
          <w:bCs/>
          <w:color w:val="000000"/>
        </w:rPr>
        <w:t>ette action doit être accompagnée en amont par la</w:t>
      </w:r>
      <w:r w:rsidR="00C42E79">
        <w:rPr>
          <w:rFonts w:cs="MyriadPro-Bold"/>
          <w:bCs/>
          <w:color w:val="000000"/>
        </w:rPr>
        <w:t xml:space="preserve"> présentation des résultats du projet CB2 aux responsables de l’INDH en vue de gagner leur implication dans le processus. </w:t>
      </w:r>
    </w:p>
    <w:p w:rsidR="00C42E79" w:rsidRDefault="00C42E79" w:rsidP="00733C02">
      <w:pPr>
        <w:autoSpaceDE w:val="0"/>
        <w:autoSpaceDN w:val="0"/>
        <w:adjustRightInd w:val="0"/>
        <w:spacing w:after="0" w:line="240" w:lineRule="auto"/>
        <w:jc w:val="both"/>
        <w:rPr>
          <w:rFonts w:cs="MyriadPro-Bold"/>
          <w:bCs/>
          <w:color w:val="000000"/>
        </w:rPr>
      </w:pPr>
    </w:p>
    <w:p w:rsidR="00C42E79" w:rsidRDefault="00C42E79" w:rsidP="00733C02">
      <w:pPr>
        <w:autoSpaceDE w:val="0"/>
        <w:autoSpaceDN w:val="0"/>
        <w:adjustRightInd w:val="0"/>
        <w:spacing w:after="0" w:line="240" w:lineRule="auto"/>
        <w:jc w:val="both"/>
        <w:rPr>
          <w:rFonts w:cs="MyriadPro-Bold"/>
          <w:bCs/>
          <w:color w:val="000000"/>
        </w:rPr>
      </w:pPr>
      <w:r w:rsidRPr="00C42E79">
        <w:rPr>
          <w:rFonts w:cs="MyriadPro-Bold"/>
          <w:bCs/>
          <w:color w:val="000000"/>
        </w:rPr>
        <w:t>L’exécution du projet a été attribuée au Ministère Délégué chargé de l’Environnement (MD</w:t>
      </w:r>
      <w:r>
        <w:rPr>
          <w:rFonts w:cs="MyriadPro-Bold"/>
          <w:bCs/>
          <w:color w:val="000000"/>
        </w:rPr>
        <w:t>C</w:t>
      </w:r>
      <w:r w:rsidRPr="00C42E79">
        <w:rPr>
          <w:rFonts w:cs="MyriadPro-Bold"/>
          <w:bCs/>
          <w:color w:val="000000"/>
        </w:rPr>
        <w:t xml:space="preserve">E) appuyant ainsi l’ancrage institutionnel du projet et son appropriation locale. Le projet a été conçu de manière à permettre une implication des différentes parties prenantes et des bénéficiaires. Le but était d’agir en faveur de </w:t>
      </w:r>
      <w:r>
        <w:rPr>
          <w:rFonts w:cs="MyriadPro-Bold"/>
          <w:bCs/>
          <w:color w:val="000000"/>
        </w:rPr>
        <w:t>l’intégration de la démarche IEL</w:t>
      </w:r>
      <w:r w:rsidRPr="00C42E79">
        <w:rPr>
          <w:rFonts w:cs="MyriadPro-Bold"/>
          <w:bCs/>
          <w:color w:val="000000"/>
        </w:rPr>
        <w:t xml:space="preserve"> aux niveaux décisionnels et opérationnels. Ainsi, une approche participative a été adoptée dans le cadre du projet en vue d’impliquer les parties prenantes et les bénéficiaires et de faciliter leur adhésion. Pour ce faire, des actions de sensibilisation, d’information et de formation ont été menées avec une perspective de renforcement des compétences des acteurs locaux.</w:t>
      </w:r>
    </w:p>
    <w:p w:rsidR="00C42E79" w:rsidRDefault="00C42E79" w:rsidP="00733C02">
      <w:pPr>
        <w:autoSpaceDE w:val="0"/>
        <w:autoSpaceDN w:val="0"/>
        <w:adjustRightInd w:val="0"/>
        <w:spacing w:after="0" w:line="240" w:lineRule="auto"/>
        <w:jc w:val="both"/>
        <w:rPr>
          <w:rFonts w:cs="MyriadPro-Bold"/>
          <w:bCs/>
          <w:color w:val="000000"/>
        </w:rPr>
      </w:pPr>
    </w:p>
    <w:p w:rsidR="009E32CF" w:rsidRDefault="001E7FBC" w:rsidP="00733C02">
      <w:pPr>
        <w:autoSpaceDE w:val="0"/>
        <w:autoSpaceDN w:val="0"/>
        <w:adjustRightInd w:val="0"/>
        <w:spacing w:after="0" w:line="240" w:lineRule="auto"/>
        <w:jc w:val="both"/>
        <w:rPr>
          <w:rFonts w:cs="MyriadPro-Bold"/>
          <w:bCs/>
          <w:color w:val="000000"/>
        </w:rPr>
      </w:pPr>
      <w:r>
        <w:rPr>
          <w:rFonts w:cs="MyriadPro-Bold"/>
          <w:bCs/>
          <w:color w:val="000000"/>
        </w:rPr>
        <w:t>L’appropriation locale du projet a été appuyée également par la mise en place des GREET</w:t>
      </w:r>
      <w:r w:rsidR="007E1533">
        <w:rPr>
          <w:rFonts w:cs="MyriadPro-Bold"/>
          <w:bCs/>
          <w:color w:val="000000"/>
        </w:rPr>
        <w:t xml:space="preserve"> qui ontjoué le rôle de</w:t>
      </w:r>
      <w:r w:rsidR="002C6CA1">
        <w:rPr>
          <w:rFonts w:cs="MyriadPro-Bold"/>
          <w:bCs/>
          <w:color w:val="000000"/>
        </w:rPr>
        <w:t xml:space="preserve"> relai au niveau régional,</w:t>
      </w:r>
      <w:r w:rsidR="007E1533">
        <w:rPr>
          <w:rFonts w:cs="MyriadPro-Bold"/>
          <w:bCs/>
          <w:color w:val="000000"/>
        </w:rPr>
        <w:t xml:space="preserve"> leur pérennité est un garant de la durabilité du projet dans les régions pilotes. </w:t>
      </w:r>
      <w:r w:rsidR="009E32CF" w:rsidRPr="009E32CF">
        <w:rPr>
          <w:rFonts w:cs="MyriadPro-Bold"/>
          <w:bCs/>
          <w:color w:val="000000"/>
        </w:rPr>
        <w:t>Le</w:t>
      </w:r>
      <w:r w:rsidR="007D5EFC">
        <w:rPr>
          <w:rFonts w:cs="MyriadPro-Bold"/>
          <w:bCs/>
          <w:color w:val="000000"/>
        </w:rPr>
        <w:t>s</w:t>
      </w:r>
      <w:r w:rsidR="007D5EFC" w:rsidRPr="007D5EFC">
        <w:rPr>
          <w:rFonts w:cs="MyriadPro-Bold"/>
          <w:bCs/>
          <w:color w:val="000000"/>
        </w:rPr>
        <w:t>Groupes Régionaux sur les Enjeux Environnementaux Transversaux (GREET)</w:t>
      </w:r>
      <w:r w:rsidR="009E32CF" w:rsidRPr="009E32CF">
        <w:rPr>
          <w:rFonts w:cs="MyriadPro-Bold"/>
          <w:bCs/>
          <w:color w:val="000000"/>
        </w:rPr>
        <w:t>adossé</w:t>
      </w:r>
      <w:r w:rsidR="007D5EFC">
        <w:rPr>
          <w:rFonts w:cs="MyriadPro-Bold"/>
          <w:bCs/>
          <w:color w:val="000000"/>
        </w:rPr>
        <w:t>s</w:t>
      </w:r>
      <w:r w:rsidR="00B60036">
        <w:rPr>
          <w:rFonts w:cs="MyriadPro-Bold"/>
          <w:bCs/>
          <w:color w:val="000000"/>
        </w:rPr>
        <w:t xml:space="preserve"> aux</w:t>
      </w:r>
      <w:r w:rsidR="00B60036" w:rsidRPr="00B60036">
        <w:rPr>
          <w:rFonts w:cs="MyriadPro-Bold"/>
          <w:bCs/>
          <w:color w:val="000000"/>
        </w:rPr>
        <w:t>Observatoire régional de l’Environnement et de Développement Durable</w:t>
      </w:r>
      <w:r w:rsidR="00B60036">
        <w:rPr>
          <w:rFonts w:cs="MyriadPro-Bold"/>
          <w:bCs/>
          <w:color w:val="000000"/>
        </w:rPr>
        <w:t xml:space="preserve"> (</w:t>
      </w:r>
      <w:r w:rsidR="009E32CF" w:rsidRPr="009E32CF">
        <w:rPr>
          <w:rFonts w:cs="MyriadPro-Bold"/>
          <w:bCs/>
          <w:color w:val="000000"/>
        </w:rPr>
        <w:t>OREDD</w:t>
      </w:r>
      <w:r w:rsidR="00B60036">
        <w:rPr>
          <w:rFonts w:cs="MyriadPro-Bold"/>
          <w:bCs/>
          <w:color w:val="000000"/>
        </w:rPr>
        <w:t>)</w:t>
      </w:r>
      <w:r w:rsidR="009E32CF" w:rsidRPr="009E32CF">
        <w:rPr>
          <w:rFonts w:cs="MyriadPro-Bold"/>
          <w:bCs/>
          <w:color w:val="000000"/>
        </w:rPr>
        <w:t xml:space="preserve"> et au</w:t>
      </w:r>
      <w:r w:rsidR="007D5EFC">
        <w:rPr>
          <w:rFonts w:cs="MyriadPro-Bold"/>
          <w:bCs/>
          <w:color w:val="000000"/>
        </w:rPr>
        <w:t>x</w:t>
      </w:r>
      <w:r w:rsidR="009E32CF" w:rsidRPr="009E32CF">
        <w:rPr>
          <w:rFonts w:cs="MyriadPro-Bold"/>
          <w:bCs/>
          <w:color w:val="000000"/>
        </w:rPr>
        <w:t xml:space="preserve"> service</w:t>
      </w:r>
      <w:r w:rsidR="007D5EFC">
        <w:rPr>
          <w:rFonts w:cs="MyriadPro-Bold"/>
          <w:bCs/>
          <w:color w:val="000000"/>
        </w:rPr>
        <w:t>s</w:t>
      </w:r>
      <w:r w:rsidR="009E32CF" w:rsidRPr="009E32CF">
        <w:rPr>
          <w:rFonts w:cs="MyriadPro-Bold"/>
          <w:bCs/>
          <w:color w:val="000000"/>
        </w:rPr>
        <w:t xml:space="preserve"> de l’environnement de</w:t>
      </w:r>
      <w:r w:rsidR="007D5EFC">
        <w:rPr>
          <w:rFonts w:cs="MyriadPro-Bold"/>
          <w:bCs/>
          <w:color w:val="000000"/>
        </w:rPr>
        <w:t>s</w:t>
      </w:r>
      <w:r w:rsidR="009E32CF" w:rsidRPr="009E32CF">
        <w:rPr>
          <w:rFonts w:cs="MyriadPro-Bold"/>
          <w:bCs/>
          <w:color w:val="000000"/>
        </w:rPr>
        <w:t xml:space="preserve"> Wilaya constitue</w:t>
      </w:r>
      <w:r w:rsidR="007D5EFC">
        <w:rPr>
          <w:rFonts w:cs="MyriadPro-Bold"/>
          <w:bCs/>
          <w:color w:val="000000"/>
        </w:rPr>
        <w:t>nt</w:t>
      </w:r>
      <w:r w:rsidR="009E32CF" w:rsidRPr="009E32CF">
        <w:rPr>
          <w:rFonts w:cs="MyriadPro-Bold"/>
          <w:bCs/>
          <w:color w:val="000000"/>
        </w:rPr>
        <w:t xml:space="preserve"> un espace idoine pour l’échange </w:t>
      </w:r>
      <w:r w:rsidR="009E32CF" w:rsidRPr="009E32CF">
        <w:rPr>
          <w:rFonts w:cs="MyriadPro-Bold"/>
          <w:bCs/>
          <w:color w:val="000000"/>
        </w:rPr>
        <w:lastRenderedPageBreak/>
        <w:t xml:space="preserve">d’informations environnementales et des expériences en matière de </w:t>
      </w:r>
      <w:r w:rsidR="00ED64A4" w:rsidRPr="007625D5">
        <w:rPr>
          <w:rFonts w:cs="MyriadPro-Bold"/>
          <w:bCs/>
          <w:color w:val="000000"/>
        </w:rPr>
        <w:t>de promotion du développement durable au niveau régional et local</w:t>
      </w:r>
      <w:r w:rsidR="00B75908" w:rsidRPr="007625D5">
        <w:rPr>
          <w:rFonts w:cs="MyriadPro-Bold"/>
          <w:bCs/>
          <w:color w:val="000000"/>
        </w:rPr>
        <w:t xml:space="preserve">. Ces </w:t>
      </w:r>
      <w:r w:rsidR="009E32CF" w:rsidRPr="007625D5">
        <w:rPr>
          <w:rFonts w:cs="MyriadPro-Bold"/>
          <w:bCs/>
          <w:color w:val="000000"/>
        </w:rPr>
        <w:t>expériences sont</w:t>
      </w:r>
      <w:r w:rsidR="009E32CF" w:rsidRPr="009E32CF">
        <w:rPr>
          <w:rFonts w:cs="MyriadPro-Bold"/>
          <w:bCs/>
          <w:color w:val="000000"/>
        </w:rPr>
        <w:t xml:space="preserve"> actuellement canalisé</w:t>
      </w:r>
      <w:r w:rsidR="00B75908">
        <w:rPr>
          <w:rFonts w:cs="MyriadPro-Bold"/>
          <w:bCs/>
          <w:color w:val="000000"/>
        </w:rPr>
        <w:t>e</w:t>
      </w:r>
      <w:r w:rsidR="009E32CF" w:rsidRPr="009E32CF">
        <w:rPr>
          <w:rFonts w:cs="MyriadPro-Bold"/>
          <w:bCs/>
          <w:color w:val="000000"/>
        </w:rPr>
        <w:t>s à travers l’approche IEL pour être mis</w:t>
      </w:r>
      <w:r w:rsidR="00B75908">
        <w:rPr>
          <w:rFonts w:cs="MyriadPro-Bold"/>
          <w:bCs/>
          <w:color w:val="000000"/>
        </w:rPr>
        <w:t>es</w:t>
      </w:r>
      <w:r w:rsidR="009E32CF" w:rsidRPr="009E32CF">
        <w:rPr>
          <w:rFonts w:cs="MyriadPro-Bold"/>
          <w:bCs/>
          <w:color w:val="000000"/>
        </w:rPr>
        <w:t xml:space="preserve"> à la disposition du développement </w:t>
      </w:r>
      <w:r w:rsidR="00824C57" w:rsidRPr="009E32CF">
        <w:rPr>
          <w:rFonts w:cs="MyriadPro-Bold"/>
          <w:bCs/>
          <w:color w:val="000000"/>
        </w:rPr>
        <w:t>local et</w:t>
      </w:r>
      <w:r w:rsidR="009E32CF" w:rsidRPr="009E32CF">
        <w:rPr>
          <w:rFonts w:cs="MyriadPro-Bold"/>
          <w:bCs/>
          <w:color w:val="000000"/>
        </w:rPr>
        <w:t xml:space="preserve"> de la planification stratégique territoriale.</w:t>
      </w:r>
    </w:p>
    <w:p w:rsidR="009E32CF" w:rsidRDefault="009E32CF" w:rsidP="00733C02">
      <w:pPr>
        <w:autoSpaceDE w:val="0"/>
        <w:autoSpaceDN w:val="0"/>
        <w:adjustRightInd w:val="0"/>
        <w:spacing w:after="0" w:line="240" w:lineRule="auto"/>
        <w:jc w:val="both"/>
        <w:rPr>
          <w:rFonts w:cs="MyriadPro-Bold"/>
          <w:bCs/>
          <w:color w:val="000000"/>
        </w:rPr>
      </w:pPr>
    </w:p>
    <w:p w:rsidR="00C42E79" w:rsidRDefault="007E1533" w:rsidP="00733C02">
      <w:pPr>
        <w:autoSpaceDE w:val="0"/>
        <w:autoSpaceDN w:val="0"/>
        <w:adjustRightInd w:val="0"/>
        <w:spacing w:after="0" w:line="240" w:lineRule="auto"/>
        <w:jc w:val="both"/>
        <w:rPr>
          <w:rFonts w:cs="MyriadPro-Bold"/>
          <w:bCs/>
          <w:color w:val="000000"/>
        </w:rPr>
      </w:pPr>
      <w:r>
        <w:rPr>
          <w:rFonts w:cs="MyriadPro-Bold"/>
          <w:bCs/>
          <w:color w:val="000000"/>
        </w:rPr>
        <w:t xml:space="preserve">Un autre facteur qui concoure à la durabilité du projet consiste en l’appropriation </w:t>
      </w:r>
      <w:r w:rsidR="009E32CF">
        <w:rPr>
          <w:rFonts w:cs="MyriadPro-Bold"/>
          <w:bCs/>
          <w:color w:val="000000"/>
        </w:rPr>
        <w:t xml:space="preserve">par la DGCL </w:t>
      </w:r>
      <w:r>
        <w:rPr>
          <w:rFonts w:cs="MyriadPro-Bold"/>
          <w:bCs/>
          <w:color w:val="000000"/>
        </w:rPr>
        <w:t xml:space="preserve">des </w:t>
      </w:r>
      <w:r w:rsidRPr="007625D5">
        <w:rPr>
          <w:rFonts w:cs="MyriadPro-Bold"/>
          <w:bCs/>
          <w:color w:val="000000"/>
        </w:rPr>
        <w:t>ou</w:t>
      </w:r>
      <w:r w:rsidR="00B75908" w:rsidRPr="007625D5">
        <w:rPr>
          <w:rFonts w:cs="MyriadPro-Bold"/>
          <w:bCs/>
          <w:color w:val="000000"/>
        </w:rPr>
        <w:t>tils méthodologiques développés. La DGCL utilisera c</w:t>
      </w:r>
      <w:r w:rsidR="009E32CF" w:rsidRPr="007625D5">
        <w:rPr>
          <w:rFonts w:cs="MyriadPro-Bold"/>
          <w:bCs/>
          <w:color w:val="000000"/>
        </w:rPr>
        <w:t xml:space="preserve">es outils méthodologiques </w:t>
      </w:r>
      <w:r w:rsidR="00E57AA8">
        <w:rPr>
          <w:rFonts w:cs="MyriadPro-Bold"/>
          <w:bCs/>
          <w:color w:val="000000"/>
        </w:rPr>
        <w:t xml:space="preserve">(après leur adaptation par la DGCL) </w:t>
      </w:r>
      <w:r w:rsidR="009E32CF" w:rsidRPr="007625D5">
        <w:rPr>
          <w:rFonts w:cs="MyriadPro-Bold"/>
          <w:bCs/>
          <w:color w:val="000000"/>
        </w:rPr>
        <w:t>pour compléter le</w:t>
      </w:r>
      <w:r w:rsidR="009E32CF">
        <w:rPr>
          <w:rFonts w:cs="MyriadPro-Bold"/>
          <w:bCs/>
          <w:color w:val="000000"/>
        </w:rPr>
        <w:t xml:space="preserve"> kit de formation destiné aux secrétaires généraux des communes. L</w:t>
      </w:r>
      <w:r>
        <w:rPr>
          <w:rFonts w:cs="MyriadPro-Bold"/>
          <w:bCs/>
          <w:color w:val="000000"/>
        </w:rPr>
        <w:t>es partenaires du développ</w:t>
      </w:r>
      <w:r w:rsidR="009E32CF">
        <w:rPr>
          <w:rFonts w:cs="MyriadPro-Bold"/>
          <w:bCs/>
          <w:color w:val="000000"/>
        </w:rPr>
        <w:t xml:space="preserve">ement </w:t>
      </w:r>
      <w:r w:rsidR="009E32CF" w:rsidRPr="007625D5">
        <w:rPr>
          <w:rFonts w:cs="MyriadPro-Bold"/>
          <w:bCs/>
          <w:color w:val="000000"/>
        </w:rPr>
        <w:t xml:space="preserve">tel que la GIZ et </w:t>
      </w:r>
      <w:r w:rsidR="00B60036">
        <w:rPr>
          <w:rFonts w:cs="MyriadPro-Bold"/>
          <w:bCs/>
          <w:color w:val="000000"/>
        </w:rPr>
        <w:t>l’</w:t>
      </w:r>
      <w:r w:rsidR="00B60036" w:rsidRPr="00B60036">
        <w:rPr>
          <w:rFonts w:cs="MyriadPro-Bold"/>
          <w:bCs/>
          <w:color w:val="000000"/>
        </w:rPr>
        <w:t xml:space="preserve">Association de Développement Local méditerranéen </w:t>
      </w:r>
      <w:r w:rsidR="00B60036">
        <w:rPr>
          <w:rFonts w:cs="MyriadPro-Bold"/>
          <w:bCs/>
          <w:color w:val="000000"/>
        </w:rPr>
        <w:t>(</w:t>
      </w:r>
      <w:r w:rsidR="009E32CF" w:rsidRPr="007625D5">
        <w:rPr>
          <w:rFonts w:cs="MyriadPro-Bold"/>
          <w:bCs/>
          <w:color w:val="000000"/>
        </w:rPr>
        <w:t>ADELMA</w:t>
      </w:r>
      <w:r w:rsidR="00B60036">
        <w:rPr>
          <w:rFonts w:cs="MyriadPro-Bold"/>
          <w:bCs/>
          <w:color w:val="000000"/>
        </w:rPr>
        <w:t>)</w:t>
      </w:r>
      <w:r w:rsidR="009E32CF" w:rsidRPr="007625D5">
        <w:rPr>
          <w:rFonts w:cs="MyriadPro-Bold"/>
          <w:bCs/>
          <w:color w:val="000000"/>
        </w:rPr>
        <w:t xml:space="preserve"> utilisent </w:t>
      </w:r>
      <w:r w:rsidR="00B75908" w:rsidRPr="007625D5">
        <w:rPr>
          <w:rFonts w:cs="MyriadPro-Bold"/>
          <w:bCs/>
          <w:color w:val="000000"/>
        </w:rPr>
        <w:t xml:space="preserve">déjà </w:t>
      </w:r>
      <w:r w:rsidR="009E32CF" w:rsidRPr="007625D5">
        <w:rPr>
          <w:rFonts w:cs="MyriadPro-Bold"/>
          <w:bCs/>
          <w:color w:val="000000"/>
        </w:rPr>
        <w:t>ces outils méthodologiques dans les activités de renforcement des capacités de</w:t>
      </w:r>
      <w:r w:rsidR="00B75908" w:rsidRPr="007625D5">
        <w:rPr>
          <w:rFonts w:cs="MyriadPro-Bold"/>
          <w:bCs/>
          <w:color w:val="000000"/>
        </w:rPr>
        <w:t>s bénéficiaires de</w:t>
      </w:r>
      <w:r w:rsidR="009E32CF" w:rsidRPr="007625D5">
        <w:rPr>
          <w:rFonts w:cs="MyriadPro-Bold"/>
          <w:bCs/>
          <w:color w:val="000000"/>
        </w:rPr>
        <w:t xml:space="preserve"> leurs projets.</w:t>
      </w:r>
    </w:p>
    <w:p w:rsidR="007E1533" w:rsidRDefault="007E1533" w:rsidP="00733C02">
      <w:pPr>
        <w:autoSpaceDE w:val="0"/>
        <w:autoSpaceDN w:val="0"/>
        <w:adjustRightInd w:val="0"/>
        <w:spacing w:after="0" w:line="240" w:lineRule="auto"/>
        <w:jc w:val="both"/>
        <w:rPr>
          <w:rFonts w:cs="MyriadPro-Bold"/>
          <w:bCs/>
          <w:color w:val="000000"/>
        </w:rPr>
      </w:pPr>
    </w:p>
    <w:p w:rsidR="009E32CF" w:rsidRDefault="009E32CF" w:rsidP="009E32CF">
      <w:pPr>
        <w:autoSpaceDE w:val="0"/>
        <w:autoSpaceDN w:val="0"/>
        <w:adjustRightInd w:val="0"/>
        <w:spacing w:after="0" w:line="240" w:lineRule="auto"/>
        <w:jc w:val="both"/>
        <w:rPr>
          <w:rFonts w:cs="MyriadPro-Bold"/>
          <w:bCs/>
          <w:color w:val="000000"/>
        </w:rPr>
      </w:pPr>
      <w:r w:rsidRPr="009E32CF">
        <w:rPr>
          <w:rFonts w:cs="MyriadPro-Bold"/>
          <w:bCs/>
          <w:color w:val="000000"/>
        </w:rPr>
        <w:t>Le renforce</w:t>
      </w:r>
      <w:r>
        <w:rPr>
          <w:rFonts w:cs="MyriadPro-Bold"/>
          <w:bCs/>
          <w:color w:val="000000"/>
        </w:rPr>
        <w:t>ment des capacités sur l</w:t>
      </w:r>
      <w:r w:rsidRPr="009E32CF">
        <w:rPr>
          <w:rFonts w:cs="MyriadPro-Bold"/>
          <w:bCs/>
          <w:color w:val="000000"/>
        </w:rPr>
        <w:t xml:space="preserve">es outils méthodologiques </w:t>
      </w:r>
      <w:r w:rsidR="00E7487F">
        <w:rPr>
          <w:rFonts w:cs="MyriadPro-Bold"/>
          <w:bCs/>
          <w:color w:val="000000"/>
        </w:rPr>
        <w:t xml:space="preserve">dans le cadre du projet CB2, </w:t>
      </w:r>
      <w:r w:rsidRPr="009E32CF">
        <w:rPr>
          <w:rFonts w:cs="MyriadPro-Bold"/>
          <w:bCs/>
          <w:color w:val="000000"/>
        </w:rPr>
        <w:t xml:space="preserve">a permis d’induire un changement important dans la manière d’aborder l’élaboration des PCD. Ce changement est d’autant plus important qu’il ouvre des nouvelles possibilités aux gestionnaires communaux pour proposer des projets de développement </w:t>
      </w:r>
      <w:r w:rsidR="002847EB" w:rsidRPr="00446497">
        <w:rPr>
          <w:rFonts w:cs="MyriadPro-Bold"/>
          <w:bCs/>
          <w:i/>
          <w:color w:val="000000"/>
        </w:rPr>
        <w:t>durable</w:t>
      </w:r>
      <w:r w:rsidR="00446497">
        <w:rPr>
          <w:rFonts w:cs="MyriadPro-Bold"/>
          <w:bCs/>
          <w:color w:val="000000"/>
        </w:rPr>
        <w:t>dans un domaine (conventions de Rio)</w:t>
      </w:r>
      <w:r w:rsidRPr="009E32CF">
        <w:rPr>
          <w:rFonts w:cs="MyriadPro-Bold"/>
          <w:bCs/>
          <w:color w:val="000000"/>
        </w:rPr>
        <w:t xml:space="preserve"> faiblement exploré dans leur</w:t>
      </w:r>
      <w:r w:rsidR="002847EB">
        <w:rPr>
          <w:rFonts w:cs="MyriadPro-Bold"/>
          <w:bCs/>
          <w:color w:val="000000"/>
        </w:rPr>
        <w:t>s</w:t>
      </w:r>
      <w:r w:rsidRPr="009E32CF">
        <w:rPr>
          <w:rFonts w:cs="MyriadPro-Bold"/>
          <w:bCs/>
          <w:color w:val="000000"/>
        </w:rPr>
        <w:t xml:space="preserve"> approche</w:t>
      </w:r>
      <w:r w:rsidR="002847EB">
        <w:rPr>
          <w:rFonts w:cs="MyriadPro-Bold"/>
          <w:bCs/>
          <w:color w:val="000000"/>
        </w:rPr>
        <w:t>s</w:t>
      </w:r>
      <w:r w:rsidRPr="009E32CF">
        <w:rPr>
          <w:rFonts w:cs="MyriadPro-Bold"/>
          <w:bCs/>
          <w:color w:val="000000"/>
        </w:rPr>
        <w:t xml:space="preserve">. </w:t>
      </w:r>
    </w:p>
    <w:p w:rsidR="009E32CF" w:rsidRDefault="009E32CF" w:rsidP="009E32CF">
      <w:pPr>
        <w:autoSpaceDE w:val="0"/>
        <w:autoSpaceDN w:val="0"/>
        <w:adjustRightInd w:val="0"/>
        <w:spacing w:after="0" w:line="240" w:lineRule="auto"/>
        <w:jc w:val="both"/>
        <w:rPr>
          <w:rFonts w:cs="MyriadPro-Bold"/>
          <w:bCs/>
          <w:color w:val="000000"/>
        </w:rPr>
      </w:pPr>
    </w:p>
    <w:p w:rsidR="005F317A" w:rsidRPr="005E04CA" w:rsidRDefault="005F317A" w:rsidP="005E04CA">
      <w:pPr>
        <w:pStyle w:val="Titre2"/>
        <w:spacing w:before="0"/>
        <w:rPr>
          <w:rFonts w:asciiTheme="minorHAnsi" w:hAnsiTheme="minorHAnsi" w:cs="MyriadPro-Bold"/>
          <w:bCs w:val="0"/>
          <w:color w:val="000000"/>
          <w:sz w:val="22"/>
          <w:szCs w:val="22"/>
        </w:rPr>
      </w:pPr>
      <w:bookmarkStart w:id="6" w:name="_Toc425414551"/>
      <w:r w:rsidRPr="005E04CA">
        <w:rPr>
          <w:rFonts w:asciiTheme="minorHAnsi" w:hAnsiTheme="minorHAnsi" w:cs="MyriadPro-Bold"/>
          <w:bCs w:val="0"/>
          <w:color w:val="000000"/>
          <w:sz w:val="22"/>
          <w:szCs w:val="22"/>
        </w:rPr>
        <w:t>Leçons tirées</w:t>
      </w:r>
      <w:bookmarkEnd w:id="6"/>
    </w:p>
    <w:p w:rsidR="005E04CA" w:rsidRDefault="005E04CA" w:rsidP="00861745">
      <w:pPr>
        <w:autoSpaceDE w:val="0"/>
        <w:autoSpaceDN w:val="0"/>
        <w:adjustRightInd w:val="0"/>
        <w:spacing w:after="0" w:line="240" w:lineRule="auto"/>
        <w:rPr>
          <w:rFonts w:cs="MyriadPro-Bold"/>
          <w:bCs/>
          <w:color w:val="000000"/>
        </w:rPr>
      </w:pPr>
    </w:p>
    <w:p w:rsidR="00861745" w:rsidRPr="00861745" w:rsidRDefault="00861745" w:rsidP="00861745">
      <w:pPr>
        <w:autoSpaceDE w:val="0"/>
        <w:autoSpaceDN w:val="0"/>
        <w:adjustRightInd w:val="0"/>
        <w:spacing w:after="0" w:line="240" w:lineRule="auto"/>
        <w:rPr>
          <w:rFonts w:cs="MyriadPro-Bold"/>
          <w:bCs/>
          <w:color w:val="000000"/>
        </w:rPr>
      </w:pPr>
      <w:r w:rsidRPr="00861745">
        <w:rPr>
          <w:rFonts w:cs="MyriadPro-Bold"/>
          <w:bCs/>
          <w:color w:val="000000"/>
        </w:rPr>
        <w:t>Les leçons apprises dans le cadre du projet CB2 et qui pourraient servir à des projets similaires sont présentées ci-après :</w:t>
      </w:r>
    </w:p>
    <w:p w:rsidR="00861745" w:rsidRPr="00861745" w:rsidRDefault="00861745" w:rsidP="00861745">
      <w:pPr>
        <w:autoSpaceDE w:val="0"/>
        <w:autoSpaceDN w:val="0"/>
        <w:adjustRightInd w:val="0"/>
        <w:spacing w:after="0" w:line="240" w:lineRule="auto"/>
        <w:rPr>
          <w:rFonts w:cs="MyriadPro-Bold"/>
          <w:bCs/>
          <w:color w:val="000000"/>
        </w:rPr>
      </w:pPr>
    </w:p>
    <w:p w:rsidR="00861745" w:rsidRPr="00861745" w:rsidRDefault="00861745" w:rsidP="00861745">
      <w:pPr>
        <w:pStyle w:val="Paragraphedeliste"/>
        <w:numPr>
          <w:ilvl w:val="0"/>
          <w:numId w:val="15"/>
        </w:numPr>
        <w:autoSpaceDE w:val="0"/>
        <w:autoSpaceDN w:val="0"/>
        <w:adjustRightInd w:val="0"/>
        <w:spacing w:after="0" w:line="240" w:lineRule="auto"/>
        <w:jc w:val="both"/>
        <w:rPr>
          <w:rFonts w:cs="MyriadPro-Bold"/>
          <w:bCs/>
          <w:color w:val="000000"/>
        </w:rPr>
      </w:pPr>
      <w:r w:rsidRPr="00861745">
        <w:rPr>
          <w:rFonts w:cs="MyriadPro-Bold"/>
          <w:bCs/>
          <w:color w:val="000000"/>
        </w:rPr>
        <w:t>Les groupes cibles, pour la réussite de l’intégration de la démarche IEL aux niveaux central et local, sont identifiés. Leur implication nécessite de la part de l’UGP de communiquer à tous les niveaux sur les objectifs, les concepts et la démarche du projet. En effet, ces éléments apportent beaucoup de nouveautés dans la planification stratégique locale et doivent de ce fait être explicités aux groupes cibles pour qu’ils se les approprient dès les premières phases du projet.</w:t>
      </w:r>
    </w:p>
    <w:p w:rsidR="00861745" w:rsidRDefault="00861745" w:rsidP="00861745">
      <w:pPr>
        <w:pStyle w:val="Paragraphedeliste"/>
        <w:numPr>
          <w:ilvl w:val="0"/>
          <w:numId w:val="15"/>
        </w:numPr>
        <w:autoSpaceDE w:val="0"/>
        <w:autoSpaceDN w:val="0"/>
        <w:adjustRightInd w:val="0"/>
        <w:spacing w:after="0" w:line="240" w:lineRule="auto"/>
        <w:jc w:val="both"/>
        <w:rPr>
          <w:rFonts w:cs="MyriadPro-Bold"/>
          <w:bCs/>
          <w:color w:val="000000"/>
        </w:rPr>
      </w:pPr>
      <w:r w:rsidRPr="00861745">
        <w:rPr>
          <w:rFonts w:cs="MyriadPro-Bold"/>
          <w:bCs/>
          <w:color w:val="000000"/>
        </w:rPr>
        <w:t>La nécessité de mettre en place des points focaux au niveau région</w:t>
      </w:r>
      <w:r w:rsidR="002847EB">
        <w:rPr>
          <w:rFonts w:cs="MyriadPro-Bold"/>
          <w:bCs/>
          <w:color w:val="000000"/>
        </w:rPr>
        <w:t xml:space="preserve">al pour assurer le relai et </w:t>
      </w:r>
      <w:r w:rsidR="002847EB" w:rsidRPr="0031515B">
        <w:rPr>
          <w:rFonts w:cs="MyriadPro-Bold"/>
          <w:bCs/>
          <w:color w:val="000000"/>
        </w:rPr>
        <w:t xml:space="preserve">un appui </w:t>
      </w:r>
      <w:r w:rsidRPr="0031515B">
        <w:rPr>
          <w:rFonts w:cs="MyriadPro-Bold"/>
          <w:bCs/>
          <w:color w:val="000000"/>
        </w:rPr>
        <w:t>de proximité auprès des acteurs locaux.</w:t>
      </w:r>
    </w:p>
    <w:p w:rsidR="001979AD" w:rsidRPr="0031515B" w:rsidRDefault="001979AD" w:rsidP="00861745">
      <w:pPr>
        <w:pStyle w:val="Paragraphedeliste"/>
        <w:numPr>
          <w:ilvl w:val="0"/>
          <w:numId w:val="15"/>
        </w:numPr>
        <w:autoSpaceDE w:val="0"/>
        <w:autoSpaceDN w:val="0"/>
        <w:adjustRightInd w:val="0"/>
        <w:spacing w:after="0" w:line="240" w:lineRule="auto"/>
        <w:jc w:val="both"/>
        <w:rPr>
          <w:rFonts w:cs="MyriadPro-Bold"/>
          <w:bCs/>
          <w:color w:val="000000"/>
        </w:rPr>
      </w:pPr>
      <w:r>
        <w:rPr>
          <w:rFonts w:cs="MyriadPro-Bold"/>
          <w:bCs/>
          <w:color w:val="000000"/>
        </w:rPr>
        <w:t>Communiquer sur le rôle des OREDD auprès des autorités locales pour faciliter leur action et leur intégration dans les institutions locales.</w:t>
      </w:r>
    </w:p>
    <w:p w:rsidR="00861745" w:rsidRPr="00861745" w:rsidRDefault="00861745" w:rsidP="00861745">
      <w:pPr>
        <w:pStyle w:val="Paragraphedeliste"/>
        <w:numPr>
          <w:ilvl w:val="0"/>
          <w:numId w:val="15"/>
        </w:numPr>
        <w:autoSpaceDE w:val="0"/>
        <w:autoSpaceDN w:val="0"/>
        <w:adjustRightInd w:val="0"/>
        <w:spacing w:after="0" w:line="240" w:lineRule="auto"/>
        <w:jc w:val="both"/>
        <w:rPr>
          <w:rFonts w:cs="MyriadPro-Bold"/>
          <w:bCs/>
          <w:color w:val="000000"/>
        </w:rPr>
      </w:pPr>
      <w:r w:rsidRPr="00861745">
        <w:rPr>
          <w:rFonts w:cs="MyriadPro-Bold"/>
          <w:bCs/>
          <w:color w:val="000000"/>
        </w:rPr>
        <w:t>Les sessions de formation sur les outils méthodologiques développés doivent nécessairement comprendre des ateliers d’application sur des cas concrets afin de faciliter la compréhension de la démarche et d’acquérir l’adhésion des groupes cibles.</w:t>
      </w:r>
    </w:p>
    <w:p w:rsidR="00861745" w:rsidRPr="00861745" w:rsidRDefault="00861745" w:rsidP="00082537">
      <w:pPr>
        <w:pStyle w:val="Paragraphedeliste"/>
        <w:numPr>
          <w:ilvl w:val="0"/>
          <w:numId w:val="15"/>
        </w:numPr>
        <w:autoSpaceDE w:val="0"/>
        <w:autoSpaceDN w:val="0"/>
        <w:adjustRightInd w:val="0"/>
        <w:spacing w:after="0" w:line="240" w:lineRule="auto"/>
        <w:jc w:val="both"/>
        <w:rPr>
          <w:rFonts w:cs="MyriadPro-Bold"/>
          <w:bCs/>
          <w:color w:val="000000"/>
        </w:rPr>
      </w:pPr>
      <w:r w:rsidRPr="00861745">
        <w:rPr>
          <w:rFonts w:cs="MyriadPro-Bold"/>
          <w:bCs/>
          <w:color w:val="000000"/>
        </w:rPr>
        <w:t xml:space="preserve">L’appui et la synergie avec les autres projets et initiatives dans le domaine du renforcement des capacités (RC) ont montré leur efficacité dans le cadre de ce projet. En effet, le projet </w:t>
      </w:r>
      <w:r w:rsidR="00082537">
        <w:rPr>
          <w:rFonts w:cs="MyriadPro-Bold"/>
          <w:bCs/>
          <w:color w:val="000000"/>
        </w:rPr>
        <w:t>d’</w:t>
      </w:r>
      <w:r w:rsidR="00082537" w:rsidRPr="00082537">
        <w:rPr>
          <w:rFonts w:cs="MyriadPro-Bold"/>
          <w:bCs/>
          <w:color w:val="000000"/>
        </w:rPr>
        <w:t xml:space="preserve">Adaptation au Changement Climatique et Valorisation de la Biodiversité – Mise en œuvre du protocole de Nagoya (ACCN) </w:t>
      </w:r>
      <w:r w:rsidRPr="00861745">
        <w:rPr>
          <w:rFonts w:cs="MyriadPro-Bold"/>
          <w:bCs/>
          <w:color w:val="000000"/>
        </w:rPr>
        <w:t xml:space="preserve">et le projet </w:t>
      </w:r>
      <w:r w:rsidR="00082537">
        <w:rPr>
          <w:rFonts w:cs="MyriadPro-Bold"/>
          <w:bCs/>
          <w:color w:val="000000"/>
        </w:rPr>
        <w:t>d’</w:t>
      </w:r>
      <w:r w:rsidR="00082537" w:rsidRPr="00082537">
        <w:rPr>
          <w:rFonts w:cs="MyriadPro-Bold"/>
          <w:bCs/>
          <w:color w:val="000000"/>
        </w:rPr>
        <w:t xml:space="preserve">Amélioration de la Décentralisation et Appui à la Gouvernance Environnementale </w:t>
      </w:r>
      <w:r w:rsidR="00082537">
        <w:rPr>
          <w:rFonts w:cs="MyriadPro-Bold"/>
          <w:bCs/>
          <w:color w:val="000000"/>
        </w:rPr>
        <w:t>(</w:t>
      </w:r>
      <w:r w:rsidRPr="00861745">
        <w:rPr>
          <w:rFonts w:cs="MyriadPro-Bold"/>
          <w:bCs/>
          <w:color w:val="000000"/>
        </w:rPr>
        <w:t>ADAGE</w:t>
      </w:r>
      <w:r w:rsidR="00082537">
        <w:rPr>
          <w:rFonts w:cs="MyriadPro-Bold"/>
          <w:bCs/>
          <w:color w:val="000000"/>
        </w:rPr>
        <w:t>)</w:t>
      </w:r>
      <w:r w:rsidRPr="00861745">
        <w:rPr>
          <w:rFonts w:cs="MyriadPro-Bold"/>
          <w:bCs/>
          <w:color w:val="000000"/>
        </w:rPr>
        <w:t xml:space="preserve"> ont catalysé les actions de RC soit en participant à l’amélioration des outils méthodologique soit en appuyant leur large diffusion et utilisation auprès des acteurs locaux.</w:t>
      </w:r>
    </w:p>
    <w:p w:rsidR="005F317A" w:rsidRPr="00861745" w:rsidRDefault="00861745" w:rsidP="00861745">
      <w:pPr>
        <w:pStyle w:val="Paragraphedeliste"/>
        <w:numPr>
          <w:ilvl w:val="0"/>
          <w:numId w:val="15"/>
        </w:numPr>
        <w:autoSpaceDE w:val="0"/>
        <w:autoSpaceDN w:val="0"/>
        <w:adjustRightInd w:val="0"/>
        <w:spacing w:after="0" w:line="240" w:lineRule="auto"/>
        <w:jc w:val="both"/>
        <w:rPr>
          <w:rFonts w:cs="MyriadPro-Bold"/>
          <w:bCs/>
          <w:color w:val="000000"/>
        </w:rPr>
      </w:pPr>
      <w:r w:rsidRPr="00861745">
        <w:rPr>
          <w:rFonts w:cs="MyriadPro-Bold"/>
          <w:bCs/>
          <w:color w:val="000000"/>
        </w:rPr>
        <w:t xml:space="preserve">L’évolution du contexte pays doit être prise en compte durant les différentes phases du </w:t>
      </w:r>
      <w:r w:rsidRPr="0031515B">
        <w:rPr>
          <w:rFonts w:cs="MyriadPro-Bold"/>
          <w:bCs/>
          <w:color w:val="000000"/>
        </w:rPr>
        <w:t>projet pour intégrer les orientations qui en émanent dans l</w:t>
      </w:r>
      <w:r w:rsidR="002847EB" w:rsidRPr="0031515B">
        <w:rPr>
          <w:rFonts w:cs="MyriadPro-Bold"/>
          <w:bCs/>
          <w:color w:val="000000"/>
        </w:rPr>
        <w:t>e</w:t>
      </w:r>
      <w:r w:rsidRPr="0031515B">
        <w:rPr>
          <w:rFonts w:cs="MyriadPro-Bold"/>
          <w:bCs/>
          <w:color w:val="000000"/>
        </w:rPr>
        <w:t xml:space="preserve"> cadre logique du projet. Ces</w:t>
      </w:r>
      <w:r w:rsidRPr="00861745">
        <w:rPr>
          <w:rFonts w:cs="MyriadPro-Bold"/>
          <w:bCs/>
          <w:color w:val="000000"/>
        </w:rPr>
        <w:t xml:space="preserve"> orientations peuvent impacter positivement et de manière significative les résultats du projet.</w:t>
      </w:r>
    </w:p>
    <w:p w:rsidR="005E04CA" w:rsidRDefault="005E04CA" w:rsidP="00AD1A5C">
      <w:pPr>
        <w:autoSpaceDE w:val="0"/>
        <w:autoSpaceDN w:val="0"/>
        <w:adjustRightInd w:val="0"/>
        <w:spacing w:after="0" w:line="240" w:lineRule="auto"/>
        <w:rPr>
          <w:rFonts w:cs="MyriadPro-Bold"/>
          <w:b/>
          <w:bCs/>
          <w:color w:val="000000"/>
        </w:rPr>
      </w:pPr>
    </w:p>
    <w:p w:rsidR="005F317A" w:rsidRPr="005E04CA" w:rsidRDefault="005F317A" w:rsidP="005E04CA">
      <w:pPr>
        <w:pStyle w:val="Titre2"/>
        <w:spacing w:before="0"/>
        <w:rPr>
          <w:rFonts w:asciiTheme="minorHAnsi" w:hAnsiTheme="minorHAnsi" w:cs="MyriadPro-Bold"/>
          <w:bCs w:val="0"/>
          <w:color w:val="000000"/>
          <w:sz w:val="22"/>
          <w:szCs w:val="22"/>
        </w:rPr>
      </w:pPr>
      <w:bookmarkStart w:id="7" w:name="_Toc425414552"/>
      <w:r w:rsidRPr="005E04CA">
        <w:rPr>
          <w:rFonts w:asciiTheme="minorHAnsi" w:hAnsiTheme="minorHAnsi" w:cs="MyriadPro-Bold"/>
          <w:bCs w:val="0"/>
          <w:color w:val="000000"/>
          <w:sz w:val="22"/>
          <w:szCs w:val="22"/>
        </w:rPr>
        <w:t>Recommandations</w:t>
      </w:r>
      <w:bookmarkEnd w:id="7"/>
    </w:p>
    <w:p w:rsidR="005E04CA" w:rsidRDefault="005E04CA" w:rsidP="00861745">
      <w:pPr>
        <w:autoSpaceDE w:val="0"/>
        <w:autoSpaceDN w:val="0"/>
        <w:adjustRightInd w:val="0"/>
        <w:spacing w:after="0" w:line="240" w:lineRule="auto"/>
        <w:rPr>
          <w:rFonts w:cs="MyriadPro-Bold"/>
          <w:bCs/>
          <w:color w:val="000000"/>
        </w:rPr>
      </w:pPr>
    </w:p>
    <w:p w:rsidR="00861745" w:rsidRDefault="00861745" w:rsidP="001F7052">
      <w:pPr>
        <w:autoSpaceDE w:val="0"/>
        <w:autoSpaceDN w:val="0"/>
        <w:adjustRightInd w:val="0"/>
        <w:spacing w:after="0" w:line="240" w:lineRule="auto"/>
        <w:jc w:val="both"/>
        <w:rPr>
          <w:rFonts w:cs="MyriadPro-Bold"/>
          <w:bCs/>
          <w:color w:val="000000"/>
        </w:rPr>
      </w:pPr>
      <w:r w:rsidRPr="0031515B">
        <w:rPr>
          <w:rFonts w:cs="MyriadPro-Bold"/>
          <w:bCs/>
          <w:color w:val="000000"/>
        </w:rPr>
        <w:lastRenderedPageBreak/>
        <w:t xml:space="preserve">En vue de maintenir et de renforcer les acquis du projet, </w:t>
      </w:r>
      <w:r w:rsidR="00082537">
        <w:rPr>
          <w:rFonts w:cs="MyriadPro-Bold"/>
          <w:bCs/>
          <w:color w:val="000000"/>
        </w:rPr>
        <w:t>les</w:t>
      </w:r>
      <w:r w:rsidR="0031515B" w:rsidRPr="0031515B">
        <w:rPr>
          <w:rFonts w:cs="MyriadPro-Bold"/>
          <w:bCs/>
          <w:color w:val="000000"/>
        </w:rPr>
        <w:t xml:space="preserve"> recommand</w:t>
      </w:r>
      <w:r w:rsidR="00082537">
        <w:rPr>
          <w:rFonts w:cs="MyriadPro-Bold"/>
          <w:bCs/>
          <w:color w:val="000000"/>
        </w:rPr>
        <w:t xml:space="preserve">ations listées dans le tableau suivants sont </w:t>
      </w:r>
      <w:r w:rsidR="001F7052">
        <w:rPr>
          <w:rFonts w:cs="MyriadPro-Bold"/>
          <w:bCs/>
          <w:color w:val="000000"/>
        </w:rPr>
        <w:t>formul</w:t>
      </w:r>
      <w:r w:rsidR="0031515B" w:rsidRPr="0031515B">
        <w:rPr>
          <w:rFonts w:cs="MyriadPro-Bold"/>
          <w:bCs/>
          <w:color w:val="000000"/>
        </w:rPr>
        <w:t>é</w:t>
      </w:r>
      <w:r w:rsidR="001F7052">
        <w:rPr>
          <w:rFonts w:cs="MyriadPro-Bold"/>
          <w:bCs/>
          <w:color w:val="000000"/>
        </w:rPr>
        <w:t>es à la lumière des résultats de cette évaluation finale. L’échéancier proposé est donné à titre indicatif</w:t>
      </w:r>
      <w:r w:rsidRPr="0031515B">
        <w:rPr>
          <w:rFonts w:cs="MyriadPro-Bold"/>
          <w:bCs/>
          <w:color w:val="000000"/>
        </w:rPr>
        <w:t xml:space="preserve"> :</w:t>
      </w:r>
    </w:p>
    <w:p w:rsidR="000B3122" w:rsidRDefault="000B3122" w:rsidP="00861745">
      <w:pPr>
        <w:autoSpaceDE w:val="0"/>
        <w:autoSpaceDN w:val="0"/>
        <w:adjustRightInd w:val="0"/>
        <w:spacing w:after="0" w:line="240" w:lineRule="auto"/>
        <w:rPr>
          <w:rFonts w:cs="MyriadPro-Bold"/>
          <w:bCs/>
          <w:color w:val="000000"/>
        </w:rPr>
      </w:pPr>
    </w:p>
    <w:tbl>
      <w:tblPr>
        <w:tblStyle w:val="Grilledutableau"/>
        <w:tblW w:w="0" w:type="auto"/>
        <w:tblLook w:val="04A0"/>
      </w:tblPr>
      <w:tblGrid>
        <w:gridCol w:w="3020"/>
        <w:gridCol w:w="3021"/>
        <w:gridCol w:w="3021"/>
      </w:tblGrid>
      <w:tr w:rsidR="00082537" w:rsidRPr="00DD38EE" w:rsidTr="003D0733">
        <w:tc>
          <w:tcPr>
            <w:tcW w:w="3020" w:type="dxa"/>
            <w:shd w:val="clear" w:color="auto" w:fill="D9D9D9" w:themeFill="background1" w:themeFillShade="D9"/>
          </w:tcPr>
          <w:p w:rsidR="00082537" w:rsidRPr="00DD38EE" w:rsidRDefault="00082537" w:rsidP="003D0733">
            <w:pPr>
              <w:jc w:val="center"/>
              <w:rPr>
                <w:b/>
              </w:rPr>
            </w:pPr>
            <w:r w:rsidRPr="00DD38EE">
              <w:rPr>
                <w:b/>
                <w:lang w:val="fr-CA"/>
              </w:rPr>
              <w:t>Recommandations</w:t>
            </w:r>
          </w:p>
        </w:tc>
        <w:tc>
          <w:tcPr>
            <w:tcW w:w="3021" w:type="dxa"/>
            <w:shd w:val="clear" w:color="auto" w:fill="D9D9D9" w:themeFill="background1" w:themeFillShade="D9"/>
          </w:tcPr>
          <w:p w:rsidR="00082537" w:rsidRPr="00DD38EE" w:rsidRDefault="00082537" w:rsidP="003D0733">
            <w:pPr>
              <w:jc w:val="center"/>
              <w:rPr>
                <w:b/>
              </w:rPr>
            </w:pPr>
            <w:r w:rsidRPr="00DD38EE">
              <w:rPr>
                <w:b/>
                <w:lang w:val="fr-CA"/>
              </w:rPr>
              <w:t>Responsable</w:t>
            </w:r>
            <w:r w:rsidRPr="00DD38EE">
              <w:rPr>
                <w:b/>
              </w:rPr>
              <w:t>s</w:t>
            </w:r>
          </w:p>
        </w:tc>
        <w:tc>
          <w:tcPr>
            <w:tcW w:w="3021" w:type="dxa"/>
            <w:shd w:val="clear" w:color="auto" w:fill="D9D9D9" w:themeFill="background1" w:themeFillShade="D9"/>
          </w:tcPr>
          <w:p w:rsidR="00082537" w:rsidRPr="00DD38EE" w:rsidRDefault="00082537" w:rsidP="003D0733">
            <w:pPr>
              <w:jc w:val="center"/>
              <w:rPr>
                <w:b/>
              </w:rPr>
            </w:pPr>
            <w:r w:rsidRPr="00DD38EE">
              <w:rPr>
                <w:b/>
                <w:lang w:val="fr-CA"/>
              </w:rPr>
              <w:t>Échéances</w:t>
            </w:r>
            <w:r>
              <w:rPr>
                <w:b/>
                <w:lang w:val="fr-CA"/>
              </w:rPr>
              <w:t xml:space="preserve"> (indicatif)</w:t>
            </w:r>
          </w:p>
        </w:tc>
      </w:tr>
      <w:tr w:rsidR="00082537" w:rsidTr="003D0733">
        <w:tc>
          <w:tcPr>
            <w:tcW w:w="3020" w:type="dxa"/>
          </w:tcPr>
          <w:p w:rsidR="00082537" w:rsidRDefault="001F7052" w:rsidP="003D0733">
            <w:pPr>
              <w:pStyle w:val="Titre2"/>
              <w:jc w:val="both"/>
              <w:outlineLvl w:val="1"/>
              <w:rPr>
                <w:rFonts w:asciiTheme="minorHAnsi" w:hAnsiTheme="minorHAnsi" w:cs="Calibri"/>
                <w:b w:val="0"/>
                <w:color w:val="auto"/>
                <w:sz w:val="22"/>
                <w:szCs w:val="22"/>
              </w:rPr>
            </w:pPr>
            <w:bookmarkStart w:id="8" w:name="_Toc424738356"/>
            <w:bookmarkStart w:id="9" w:name="_Toc424739926"/>
            <w:bookmarkStart w:id="10" w:name="_Toc425414553"/>
            <w:r>
              <w:rPr>
                <w:rFonts w:asciiTheme="minorHAnsi" w:hAnsiTheme="minorHAnsi" w:cs="Calibri"/>
                <w:b w:val="0"/>
                <w:color w:val="auto"/>
                <w:sz w:val="22"/>
                <w:szCs w:val="22"/>
              </w:rPr>
              <w:t>1</w:t>
            </w:r>
            <w:r w:rsidR="00082537" w:rsidRPr="006B6530">
              <w:rPr>
                <w:rFonts w:asciiTheme="minorHAnsi" w:hAnsiTheme="minorHAnsi" w:cs="Calibri"/>
                <w:b w:val="0"/>
                <w:color w:val="auto"/>
                <w:sz w:val="22"/>
                <w:szCs w:val="22"/>
              </w:rPr>
              <w:t xml:space="preserve">− Renforcer le plaidoyer en vue d’adopter </w:t>
            </w:r>
            <w:r w:rsidR="00082537">
              <w:rPr>
                <w:rFonts w:asciiTheme="minorHAnsi" w:hAnsiTheme="minorHAnsi" w:cs="Calibri"/>
                <w:b w:val="0"/>
                <w:color w:val="auto"/>
                <w:sz w:val="22"/>
                <w:szCs w:val="22"/>
              </w:rPr>
              <w:t>les amendements au projet de loi portant Charte Communale, identifiés par l’étude juridique réalisée dans le cadre du projet CB2</w:t>
            </w:r>
            <w:bookmarkEnd w:id="8"/>
            <w:bookmarkEnd w:id="9"/>
            <w:bookmarkEnd w:id="10"/>
          </w:p>
          <w:p w:rsidR="00082537" w:rsidRDefault="00082537" w:rsidP="003D0733"/>
        </w:tc>
        <w:tc>
          <w:tcPr>
            <w:tcW w:w="3021" w:type="dxa"/>
          </w:tcPr>
          <w:p w:rsidR="00082537" w:rsidRDefault="00082537" w:rsidP="003D0733">
            <w:r>
              <w:t>MDCE, DGCL</w:t>
            </w:r>
          </w:p>
        </w:tc>
        <w:tc>
          <w:tcPr>
            <w:tcW w:w="3021" w:type="dxa"/>
          </w:tcPr>
          <w:p w:rsidR="00082537" w:rsidRDefault="00082537" w:rsidP="003D0733">
            <w:r>
              <w:t>Avant l’adoption du texte final modifiant la Charte Communale</w:t>
            </w:r>
          </w:p>
        </w:tc>
      </w:tr>
      <w:tr w:rsidR="00082537" w:rsidTr="003D0733">
        <w:tc>
          <w:tcPr>
            <w:tcW w:w="3020" w:type="dxa"/>
          </w:tcPr>
          <w:p w:rsidR="00082537" w:rsidRDefault="001F7052" w:rsidP="003D0733">
            <w:pPr>
              <w:pStyle w:val="Titre2"/>
              <w:outlineLvl w:val="1"/>
              <w:rPr>
                <w:rFonts w:asciiTheme="minorHAnsi" w:hAnsiTheme="minorHAnsi" w:cs="Calibri"/>
                <w:b w:val="0"/>
                <w:color w:val="auto"/>
                <w:sz w:val="22"/>
                <w:szCs w:val="22"/>
              </w:rPr>
            </w:pPr>
            <w:bookmarkStart w:id="11" w:name="_Toc424738357"/>
            <w:bookmarkStart w:id="12" w:name="_Toc424739927"/>
            <w:bookmarkStart w:id="13" w:name="_Toc425414554"/>
            <w:r>
              <w:rPr>
                <w:rFonts w:asciiTheme="minorHAnsi" w:hAnsiTheme="minorHAnsi" w:cs="Calibri"/>
                <w:b w:val="0"/>
                <w:color w:val="auto"/>
                <w:sz w:val="22"/>
                <w:szCs w:val="22"/>
              </w:rPr>
              <w:t>2</w:t>
            </w:r>
            <w:r w:rsidR="00082537" w:rsidRPr="006B6530">
              <w:rPr>
                <w:rFonts w:asciiTheme="minorHAnsi" w:hAnsiTheme="minorHAnsi" w:cs="Calibri"/>
                <w:b w:val="0"/>
                <w:color w:val="auto"/>
                <w:sz w:val="22"/>
                <w:szCs w:val="22"/>
              </w:rPr>
              <w:t xml:space="preserve">− </w:t>
            </w:r>
            <w:r w:rsidR="00082537">
              <w:rPr>
                <w:rFonts w:asciiTheme="minorHAnsi" w:hAnsiTheme="minorHAnsi" w:cs="Calibri"/>
                <w:b w:val="0"/>
                <w:color w:val="auto"/>
                <w:sz w:val="22"/>
                <w:szCs w:val="22"/>
              </w:rPr>
              <w:t>Assurer le suivi de la stratégie de généralisation par un des services au sein de la DPCC.</w:t>
            </w:r>
            <w:bookmarkEnd w:id="11"/>
            <w:bookmarkEnd w:id="12"/>
            <w:bookmarkEnd w:id="13"/>
          </w:p>
          <w:p w:rsidR="00082537" w:rsidRDefault="00082537" w:rsidP="003D0733"/>
        </w:tc>
        <w:tc>
          <w:tcPr>
            <w:tcW w:w="3021" w:type="dxa"/>
          </w:tcPr>
          <w:p w:rsidR="00082537" w:rsidRDefault="00082537" w:rsidP="003D0733">
            <w:r>
              <w:t>MDCE</w:t>
            </w:r>
          </w:p>
        </w:tc>
        <w:tc>
          <w:tcPr>
            <w:tcW w:w="3021" w:type="dxa"/>
          </w:tcPr>
          <w:p w:rsidR="00082537" w:rsidRDefault="00082537" w:rsidP="003D0733">
            <w:r>
              <w:t>Septembre 2015</w:t>
            </w:r>
          </w:p>
        </w:tc>
      </w:tr>
      <w:tr w:rsidR="00082537" w:rsidTr="003D0733">
        <w:tc>
          <w:tcPr>
            <w:tcW w:w="3020" w:type="dxa"/>
          </w:tcPr>
          <w:p w:rsidR="00082537" w:rsidRDefault="001F7052" w:rsidP="003D0733">
            <w:pPr>
              <w:pStyle w:val="Titre2"/>
              <w:outlineLvl w:val="1"/>
              <w:rPr>
                <w:rFonts w:asciiTheme="minorHAnsi" w:hAnsiTheme="minorHAnsi" w:cs="Calibri"/>
                <w:b w:val="0"/>
                <w:color w:val="auto"/>
                <w:sz w:val="22"/>
                <w:szCs w:val="22"/>
              </w:rPr>
            </w:pPr>
            <w:bookmarkStart w:id="14" w:name="_Toc424738358"/>
            <w:bookmarkStart w:id="15" w:name="_Toc424739928"/>
            <w:bookmarkStart w:id="16" w:name="_Toc425414555"/>
            <w:r>
              <w:rPr>
                <w:rFonts w:asciiTheme="minorHAnsi" w:hAnsiTheme="minorHAnsi" w:cs="Calibri"/>
                <w:b w:val="0"/>
                <w:color w:val="auto"/>
                <w:sz w:val="22"/>
                <w:szCs w:val="22"/>
              </w:rPr>
              <w:t>3</w:t>
            </w:r>
            <w:r w:rsidR="00082537" w:rsidRPr="006B6530">
              <w:rPr>
                <w:rFonts w:asciiTheme="minorHAnsi" w:hAnsiTheme="minorHAnsi" w:cs="Calibri"/>
                <w:b w:val="0"/>
                <w:color w:val="auto"/>
                <w:sz w:val="22"/>
                <w:szCs w:val="22"/>
              </w:rPr>
              <w:t>− Maintenir les actions de sensibilisation des parties prenantes du projet</w:t>
            </w:r>
            <w:bookmarkEnd w:id="14"/>
            <w:bookmarkEnd w:id="15"/>
            <w:bookmarkEnd w:id="16"/>
          </w:p>
          <w:p w:rsidR="00082537" w:rsidRDefault="00082537" w:rsidP="003D0733"/>
        </w:tc>
        <w:tc>
          <w:tcPr>
            <w:tcW w:w="3021" w:type="dxa"/>
          </w:tcPr>
          <w:p w:rsidR="00082537" w:rsidRDefault="00082537" w:rsidP="003D0733">
            <w:r>
              <w:t>MDCE, DGCL, PNUD</w:t>
            </w:r>
          </w:p>
        </w:tc>
        <w:tc>
          <w:tcPr>
            <w:tcW w:w="3021" w:type="dxa"/>
          </w:tcPr>
          <w:p w:rsidR="00082537" w:rsidRDefault="00082537" w:rsidP="003D0733">
            <w:r>
              <w:t>1 action par trimestre ou semestre</w:t>
            </w:r>
          </w:p>
        </w:tc>
      </w:tr>
      <w:tr w:rsidR="00082537" w:rsidTr="003D0733">
        <w:tc>
          <w:tcPr>
            <w:tcW w:w="3020" w:type="dxa"/>
          </w:tcPr>
          <w:p w:rsidR="00082537" w:rsidRPr="00446497" w:rsidRDefault="001F7052" w:rsidP="003D0733">
            <w:pPr>
              <w:spacing w:before="240"/>
            </w:pPr>
            <w:r>
              <w:t>4</w:t>
            </w:r>
            <w:r w:rsidR="00082537" w:rsidRPr="00446497">
              <w:t>− Mettre en place une plateforme collaborative d’échange des expériences au profit des communes ayant bénéficié du projet</w:t>
            </w:r>
            <w:r w:rsidR="00082537">
              <w:t xml:space="preserve"> et les autres qui en manifestent l’intérêt.</w:t>
            </w:r>
          </w:p>
          <w:p w:rsidR="00082537" w:rsidRDefault="00082537" w:rsidP="003D0733"/>
        </w:tc>
        <w:tc>
          <w:tcPr>
            <w:tcW w:w="3021" w:type="dxa"/>
          </w:tcPr>
          <w:p w:rsidR="00082537" w:rsidRDefault="00082537" w:rsidP="003D0733">
            <w:r>
              <w:t>MDCE, DGCL, PNUD</w:t>
            </w:r>
          </w:p>
        </w:tc>
        <w:tc>
          <w:tcPr>
            <w:tcW w:w="3021" w:type="dxa"/>
          </w:tcPr>
          <w:p w:rsidR="00082537" w:rsidRDefault="00082537" w:rsidP="003D0733">
            <w:r>
              <w:t>Décembre 2015</w:t>
            </w:r>
          </w:p>
        </w:tc>
      </w:tr>
      <w:tr w:rsidR="00082537" w:rsidTr="003D0733">
        <w:tc>
          <w:tcPr>
            <w:tcW w:w="3020" w:type="dxa"/>
          </w:tcPr>
          <w:p w:rsidR="00082537" w:rsidRPr="006B6530" w:rsidRDefault="001F7052" w:rsidP="003D0733">
            <w:pPr>
              <w:pStyle w:val="Titre2"/>
              <w:outlineLvl w:val="1"/>
              <w:rPr>
                <w:rFonts w:asciiTheme="minorHAnsi" w:hAnsiTheme="minorHAnsi" w:cs="Calibri"/>
                <w:b w:val="0"/>
                <w:color w:val="auto"/>
                <w:sz w:val="22"/>
                <w:szCs w:val="22"/>
              </w:rPr>
            </w:pPr>
            <w:bookmarkStart w:id="17" w:name="_Toc424738359"/>
            <w:bookmarkStart w:id="18" w:name="_Toc424739929"/>
            <w:bookmarkStart w:id="19" w:name="_Toc425414556"/>
            <w:r>
              <w:rPr>
                <w:rFonts w:asciiTheme="minorHAnsi" w:hAnsiTheme="minorHAnsi" w:cs="Calibri"/>
                <w:b w:val="0"/>
                <w:color w:val="auto"/>
                <w:sz w:val="22"/>
                <w:szCs w:val="22"/>
              </w:rPr>
              <w:lastRenderedPageBreak/>
              <w:t>5</w:t>
            </w:r>
            <w:r w:rsidR="00082537" w:rsidRPr="006B6530">
              <w:rPr>
                <w:rFonts w:asciiTheme="minorHAnsi" w:hAnsiTheme="minorHAnsi" w:cs="Calibri"/>
                <w:b w:val="0"/>
                <w:color w:val="auto"/>
                <w:sz w:val="22"/>
                <w:szCs w:val="22"/>
              </w:rPr>
              <w:t xml:space="preserve">− </w:t>
            </w:r>
            <w:r w:rsidR="00082537">
              <w:rPr>
                <w:rFonts w:asciiTheme="minorHAnsi" w:hAnsiTheme="minorHAnsi" w:cs="Calibri"/>
                <w:b w:val="0"/>
                <w:color w:val="auto"/>
                <w:sz w:val="22"/>
                <w:szCs w:val="22"/>
              </w:rPr>
              <w:t xml:space="preserve">Prévoir d’inviter des secrétaires généraux de communesau cycle de </w:t>
            </w:r>
            <w:r w:rsidR="00082537" w:rsidRPr="006B6530">
              <w:rPr>
                <w:rFonts w:asciiTheme="minorHAnsi" w:hAnsiTheme="minorHAnsi" w:cs="Calibri"/>
                <w:b w:val="0"/>
                <w:color w:val="auto"/>
                <w:sz w:val="22"/>
                <w:szCs w:val="22"/>
              </w:rPr>
              <w:t xml:space="preserve">formation des formateurs </w:t>
            </w:r>
            <w:r w:rsidR="00082537">
              <w:rPr>
                <w:rFonts w:asciiTheme="minorHAnsi" w:hAnsiTheme="minorHAnsi" w:cs="Calibri"/>
                <w:b w:val="0"/>
                <w:color w:val="auto"/>
                <w:sz w:val="22"/>
                <w:szCs w:val="22"/>
              </w:rPr>
              <w:t>des Agents de Développement Provinciaux-Préfectoraux</w:t>
            </w:r>
            <w:bookmarkEnd w:id="17"/>
            <w:bookmarkEnd w:id="18"/>
            <w:bookmarkEnd w:id="19"/>
          </w:p>
          <w:p w:rsidR="00082537" w:rsidRDefault="00082537" w:rsidP="003D0733"/>
        </w:tc>
        <w:tc>
          <w:tcPr>
            <w:tcW w:w="3021" w:type="dxa"/>
          </w:tcPr>
          <w:p w:rsidR="00082537" w:rsidRDefault="00082537" w:rsidP="003D0733">
            <w:r>
              <w:t>MDCE, DGCL</w:t>
            </w:r>
          </w:p>
        </w:tc>
        <w:tc>
          <w:tcPr>
            <w:tcW w:w="3021" w:type="dxa"/>
          </w:tcPr>
          <w:p w:rsidR="00082537" w:rsidRDefault="00082537" w:rsidP="003D0733">
            <w:r>
              <w:t>Avant le démarrage du cycle de formation</w:t>
            </w:r>
          </w:p>
        </w:tc>
      </w:tr>
      <w:tr w:rsidR="00082537" w:rsidTr="003D0733">
        <w:tc>
          <w:tcPr>
            <w:tcW w:w="3020" w:type="dxa"/>
          </w:tcPr>
          <w:p w:rsidR="00082537" w:rsidRDefault="001F7052" w:rsidP="003D0733">
            <w:pPr>
              <w:pStyle w:val="Titre2"/>
              <w:outlineLvl w:val="1"/>
              <w:rPr>
                <w:rFonts w:asciiTheme="minorHAnsi" w:hAnsiTheme="minorHAnsi" w:cs="Calibri"/>
                <w:b w:val="0"/>
                <w:color w:val="auto"/>
                <w:sz w:val="22"/>
                <w:szCs w:val="22"/>
              </w:rPr>
            </w:pPr>
            <w:bookmarkStart w:id="20" w:name="_Toc424738360"/>
            <w:bookmarkStart w:id="21" w:name="_Toc424739930"/>
            <w:bookmarkStart w:id="22" w:name="_Toc425414557"/>
            <w:r>
              <w:rPr>
                <w:rFonts w:asciiTheme="minorHAnsi" w:hAnsiTheme="minorHAnsi" w:cs="Calibri"/>
                <w:b w:val="0"/>
                <w:color w:val="auto"/>
                <w:sz w:val="22"/>
                <w:szCs w:val="22"/>
              </w:rPr>
              <w:t>6</w:t>
            </w:r>
            <w:r w:rsidR="00082537" w:rsidRPr="006B6530">
              <w:rPr>
                <w:rFonts w:asciiTheme="minorHAnsi" w:hAnsiTheme="minorHAnsi" w:cs="Calibri"/>
                <w:b w:val="0"/>
                <w:color w:val="auto"/>
                <w:sz w:val="22"/>
                <w:szCs w:val="22"/>
              </w:rPr>
              <w:t xml:space="preserve">− </w:t>
            </w:r>
            <w:r w:rsidR="00082537">
              <w:rPr>
                <w:rFonts w:asciiTheme="minorHAnsi" w:hAnsiTheme="minorHAnsi" w:cs="Calibri"/>
                <w:b w:val="0"/>
                <w:color w:val="auto"/>
                <w:sz w:val="22"/>
                <w:szCs w:val="22"/>
              </w:rPr>
              <w:t>Maintenir le suivi avec les GREET en développant le couplage entre le SIC et le système de suivi de l’</w:t>
            </w:r>
            <w:r w:rsidRPr="001F7052">
              <w:rPr>
                <w:rFonts w:asciiTheme="minorHAnsi" w:hAnsiTheme="minorHAnsi" w:cs="Calibri"/>
                <w:b w:val="0"/>
                <w:color w:val="auto"/>
                <w:sz w:val="22"/>
                <w:szCs w:val="22"/>
              </w:rPr>
              <w:t>Observatoire National de l'environnement du Maroc</w:t>
            </w:r>
            <w:r>
              <w:rPr>
                <w:rFonts w:asciiTheme="minorHAnsi" w:hAnsiTheme="minorHAnsi" w:cs="Calibri"/>
                <w:b w:val="0"/>
                <w:color w:val="auto"/>
                <w:sz w:val="22"/>
                <w:szCs w:val="22"/>
              </w:rPr>
              <w:t xml:space="preserve"> (</w:t>
            </w:r>
            <w:r w:rsidR="00082537">
              <w:rPr>
                <w:rFonts w:asciiTheme="minorHAnsi" w:hAnsiTheme="minorHAnsi" w:cs="Calibri"/>
                <w:b w:val="0"/>
                <w:color w:val="auto"/>
                <w:sz w:val="22"/>
                <w:szCs w:val="22"/>
              </w:rPr>
              <w:t>ONEM</w:t>
            </w:r>
            <w:r>
              <w:rPr>
                <w:rFonts w:asciiTheme="minorHAnsi" w:hAnsiTheme="minorHAnsi" w:cs="Calibri"/>
                <w:b w:val="0"/>
                <w:color w:val="auto"/>
                <w:sz w:val="22"/>
                <w:szCs w:val="22"/>
              </w:rPr>
              <w:t>) pour le suivi des indicateurs</w:t>
            </w:r>
            <w:r w:rsidR="00082537">
              <w:rPr>
                <w:rFonts w:asciiTheme="minorHAnsi" w:hAnsiTheme="minorHAnsi" w:cs="Calibri"/>
                <w:b w:val="0"/>
                <w:color w:val="auto"/>
                <w:sz w:val="22"/>
                <w:szCs w:val="22"/>
              </w:rPr>
              <w:t>.</w:t>
            </w:r>
            <w:bookmarkEnd w:id="20"/>
            <w:bookmarkEnd w:id="21"/>
            <w:bookmarkEnd w:id="22"/>
          </w:p>
          <w:p w:rsidR="00082537" w:rsidRDefault="00082537" w:rsidP="003D0733"/>
        </w:tc>
        <w:tc>
          <w:tcPr>
            <w:tcW w:w="3021" w:type="dxa"/>
          </w:tcPr>
          <w:p w:rsidR="00082537" w:rsidRDefault="00082537" w:rsidP="003D0733">
            <w:r>
              <w:t>MDCE, DGCL</w:t>
            </w:r>
          </w:p>
        </w:tc>
        <w:tc>
          <w:tcPr>
            <w:tcW w:w="3021" w:type="dxa"/>
          </w:tcPr>
          <w:p w:rsidR="00082537" w:rsidRDefault="00082537" w:rsidP="003D0733">
            <w:r>
              <w:t>Décembre 2015</w:t>
            </w:r>
          </w:p>
        </w:tc>
      </w:tr>
      <w:tr w:rsidR="00082537" w:rsidTr="003D0733">
        <w:tc>
          <w:tcPr>
            <w:tcW w:w="3020" w:type="dxa"/>
          </w:tcPr>
          <w:p w:rsidR="00082537" w:rsidRPr="00EA4248" w:rsidRDefault="001F7052" w:rsidP="003D0733">
            <w:pPr>
              <w:spacing w:before="240"/>
            </w:pPr>
            <w:r>
              <w:t>7</w:t>
            </w:r>
            <w:r w:rsidR="00082537" w:rsidRPr="00EA4248">
              <w:t>−</w:t>
            </w:r>
            <w:r w:rsidR="00082537">
              <w:t xml:space="preserve"> Prévoir un format de reporting pour le suivi des indicateurs des PCD verdis.</w:t>
            </w:r>
          </w:p>
          <w:p w:rsidR="00082537" w:rsidRDefault="00082537" w:rsidP="003D0733"/>
        </w:tc>
        <w:tc>
          <w:tcPr>
            <w:tcW w:w="3021" w:type="dxa"/>
          </w:tcPr>
          <w:p w:rsidR="00082537" w:rsidRDefault="00082537" w:rsidP="003D0733">
            <w:r>
              <w:t>MDCE, DGCL</w:t>
            </w:r>
          </w:p>
        </w:tc>
        <w:tc>
          <w:tcPr>
            <w:tcW w:w="3021" w:type="dxa"/>
          </w:tcPr>
          <w:p w:rsidR="00082537" w:rsidRDefault="00082537" w:rsidP="003D0733">
            <w:r>
              <w:t>Septembre 2015</w:t>
            </w:r>
          </w:p>
        </w:tc>
      </w:tr>
      <w:tr w:rsidR="00082537" w:rsidTr="003D0733">
        <w:tc>
          <w:tcPr>
            <w:tcW w:w="3020" w:type="dxa"/>
          </w:tcPr>
          <w:p w:rsidR="00082537" w:rsidRDefault="001F7052" w:rsidP="003D0733">
            <w:r>
              <w:t>8</w:t>
            </w:r>
            <w:r w:rsidR="00082537" w:rsidRPr="00B25AC5">
              <w:t>−</w:t>
            </w:r>
            <w:r w:rsidR="00082537">
              <w:t xml:space="preserve"> Réaliser un atelier de présentation des résultats du projet CB2 aux responsables de la CN-INDH</w:t>
            </w:r>
          </w:p>
          <w:p w:rsidR="00082537" w:rsidRDefault="00082537" w:rsidP="003D0733"/>
        </w:tc>
        <w:tc>
          <w:tcPr>
            <w:tcW w:w="3021" w:type="dxa"/>
          </w:tcPr>
          <w:p w:rsidR="00082537" w:rsidRDefault="00082537" w:rsidP="003D0733">
            <w:r>
              <w:t>MDCE, DGCL, PNUD</w:t>
            </w:r>
          </w:p>
        </w:tc>
        <w:tc>
          <w:tcPr>
            <w:tcW w:w="3021" w:type="dxa"/>
          </w:tcPr>
          <w:p w:rsidR="00082537" w:rsidRDefault="00082537" w:rsidP="003D0733">
            <w:r>
              <w:t>Septembre 2015</w:t>
            </w:r>
          </w:p>
        </w:tc>
      </w:tr>
      <w:tr w:rsidR="00082537" w:rsidTr="003D0733">
        <w:tc>
          <w:tcPr>
            <w:tcW w:w="3020" w:type="dxa"/>
          </w:tcPr>
          <w:p w:rsidR="00082537" w:rsidRDefault="001F7052" w:rsidP="003D0733">
            <w:r>
              <w:t>9</w:t>
            </w:r>
            <w:r w:rsidR="00082537" w:rsidRPr="00D33CD8">
              <w:t>−</w:t>
            </w:r>
            <w:r w:rsidR="00082537">
              <w:t xml:space="preserve"> Intégrer dans les GREET et dans les cycles de formation, les représentants des </w:t>
            </w:r>
            <w:r w:rsidRPr="001F7052">
              <w:t>Comité</w:t>
            </w:r>
            <w:r>
              <w:t>s Locaux</w:t>
            </w:r>
            <w:r w:rsidRPr="001F7052">
              <w:t xml:space="preserve"> de Développement Humain </w:t>
            </w:r>
            <w:r>
              <w:t>(</w:t>
            </w:r>
            <w:r w:rsidR="00082537">
              <w:t>CLDH</w:t>
            </w:r>
            <w:r>
              <w:t>)</w:t>
            </w:r>
            <w:r w:rsidR="00082537">
              <w:t xml:space="preserve"> et des </w:t>
            </w:r>
            <w:r w:rsidRPr="001F7052">
              <w:t>Comité</w:t>
            </w:r>
            <w:r>
              <w:t>sProvinciaux</w:t>
            </w:r>
            <w:r w:rsidRPr="001F7052">
              <w:t xml:space="preserve"> de Développement Humain </w:t>
            </w:r>
            <w:r>
              <w:t>(</w:t>
            </w:r>
            <w:r w:rsidR="00082537">
              <w:t>CPDH</w:t>
            </w:r>
            <w:r>
              <w:t>)</w:t>
            </w:r>
          </w:p>
          <w:p w:rsidR="00082537" w:rsidRDefault="00082537" w:rsidP="003D0733"/>
        </w:tc>
        <w:tc>
          <w:tcPr>
            <w:tcW w:w="3021" w:type="dxa"/>
          </w:tcPr>
          <w:p w:rsidR="00082537" w:rsidRDefault="00082537" w:rsidP="003D0733">
            <w:r>
              <w:t>MDCE, DGCL</w:t>
            </w:r>
          </w:p>
        </w:tc>
        <w:tc>
          <w:tcPr>
            <w:tcW w:w="3021" w:type="dxa"/>
          </w:tcPr>
          <w:p w:rsidR="00082537" w:rsidRDefault="00082537" w:rsidP="003D0733">
            <w:r>
              <w:t>Septembre 2015</w:t>
            </w:r>
          </w:p>
        </w:tc>
      </w:tr>
      <w:tr w:rsidR="00082537" w:rsidTr="003D0733">
        <w:tc>
          <w:tcPr>
            <w:tcW w:w="3020" w:type="dxa"/>
          </w:tcPr>
          <w:p w:rsidR="00082537" w:rsidRDefault="001F7052" w:rsidP="003D0733">
            <w:r>
              <w:t>10</w:t>
            </w:r>
            <w:r w:rsidR="00082537" w:rsidRPr="00D43324">
              <w:t>−</w:t>
            </w:r>
            <w:r w:rsidR="00082537">
              <w:t xml:space="preserve"> Les communes cibles de l’INDH ayant participé au verdissement de leur PCD dans le cadre du projet CB2 devraient appliquer la même approche sur leur ILDH.</w:t>
            </w:r>
          </w:p>
          <w:p w:rsidR="00082537" w:rsidRDefault="00082537" w:rsidP="003D0733"/>
        </w:tc>
        <w:tc>
          <w:tcPr>
            <w:tcW w:w="3021" w:type="dxa"/>
          </w:tcPr>
          <w:p w:rsidR="00082537" w:rsidRDefault="00082537" w:rsidP="003D0733">
            <w:r>
              <w:t>MDCE, DGCL</w:t>
            </w:r>
          </w:p>
        </w:tc>
        <w:tc>
          <w:tcPr>
            <w:tcW w:w="3021" w:type="dxa"/>
          </w:tcPr>
          <w:p w:rsidR="00082537" w:rsidRDefault="00082537" w:rsidP="003D0733">
            <w:r>
              <w:t>Octobre 2015</w:t>
            </w:r>
          </w:p>
        </w:tc>
      </w:tr>
      <w:tr w:rsidR="00082537" w:rsidTr="003D0733">
        <w:tc>
          <w:tcPr>
            <w:tcW w:w="3020" w:type="dxa"/>
          </w:tcPr>
          <w:p w:rsidR="00082537" w:rsidRDefault="001F7052" w:rsidP="003D0733">
            <w:r>
              <w:t>11</w:t>
            </w:r>
            <w:r w:rsidR="00082537" w:rsidRPr="00D33CD8">
              <w:t>−</w:t>
            </w:r>
            <w:r w:rsidR="00082537">
              <w:t xml:space="preserve"> Assurer une large diffusion des PCD ayant intégré la démarche IEL</w:t>
            </w:r>
          </w:p>
          <w:p w:rsidR="00082537" w:rsidRDefault="00082537" w:rsidP="003D0733"/>
        </w:tc>
        <w:tc>
          <w:tcPr>
            <w:tcW w:w="3021" w:type="dxa"/>
          </w:tcPr>
          <w:p w:rsidR="00082537" w:rsidRDefault="00082537" w:rsidP="003D0733">
            <w:r>
              <w:t>MDCE, DGCL</w:t>
            </w:r>
          </w:p>
        </w:tc>
        <w:tc>
          <w:tcPr>
            <w:tcW w:w="3021" w:type="dxa"/>
          </w:tcPr>
          <w:p w:rsidR="00082537" w:rsidRDefault="00082537" w:rsidP="003D0733">
            <w:r>
              <w:t>Septembre 2015</w:t>
            </w:r>
          </w:p>
        </w:tc>
      </w:tr>
      <w:tr w:rsidR="00082537" w:rsidTr="003D0733">
        <w:tc>
          <w:tcPr>
            <w:tcW w:w="3020" w:type="dxa"/>
          </w:tcPr>
          <w:p w:rsidR="00082537" w:rsidRDefault="001F7052" w:rsidP="003D0733">
            <w:r>
              <w:t>12</w:t>
            </w:r>
            <w:r w:rsidR="00082537" w:rsidRPr="00EA4248">
              <w:t>−</w:t>
            </w:r>
            <w:r w:rsidR="00082537">
              <w:t xml:space="preserve"> Assurer une large diffusion des outils méthodologiques</w:t>
            </w:r>
          </w:p>
          <w:p w:rsidR="00082537" w:rsidRDefault="00082537" w:rsidP="003D0733"/>
        </w:tc>
        <w:tc>
          <w:tcPr>
            <w:tcW w:w="3021" w:type="dxa"/>
          </w:tcPr>
          <w:p w:rsidR="00082537" w:rsidRDefault="00082537" w:rsidP="003D0733">
            <w:r>
              <w:t>MDCE, DGCL</w:t>
            </w:r>
          </w:p>
        </w:tc>
        <w:tc>
          <w:tcPr>
            <w:tcW w:w="3021" w:type="dxa"/>
          </w:tcPr>
          <w:p w:rsidR="00082537" w:rsidRDefault="00082537" w:rsidP="003D0733">
            <w:r>
              <w:t>Octobre 2015</w:t>
            </w:r>
          </w:p>
        </w:tc>
      </w:tr>
    </w:tbl>
    <w:p w:rsidR="00082537" w:rsidRDefault="00082537" w:rsidP="00861745">
      <w:pPr>
        <w:autoSpaceDE w:val="0"/>
        <w:autoSpaceDN w:val="0"/>
        <w:adjustRightInd w:val="0"/>
        <w:spacing w:after="0" w:line="240" w:lineRule="auto"/>
        <w:rPr>
          <w:rFonts w:cs="MyriadPro-Bold"/>
          <w:bCs/>
          <w:color w:val="000000"/>
        </w:rPr>
      </w:pPr>
    </w:p>
    <w:p w:rsidR="000B3122" w:rsidRDefault="000B3122" w:rsidP="000B3122">
      <w:pPr>
        <w:autoSpaceDE w:val="0"/>
        <w:autoSpaceDN w:val="0"/>
        <w:adjustRightInd w:val="0"/>
        <w:spacing w:after="0" w:line="240" w:lineRule="auto"/>
        <w:rPr>
          <w:rFonts w:cs="MyriadPro-Bold"/>
          <w:bCs/>
          <w:color w:val="000000"/>
        </w:rPr>
      </w:pPr>
    </w:p>
    <w:p w:rsidR="000B3122" w:rsidRPr="000B3122" w:rsidRDefault="000B3122" w:rsidP="00B23BF7">
      <w:pPr>
        <w:autoSpaceDE w:val="0"/>
        <w:autoSpaceDN w:val="0"/>
        <w:adjustRightInd w:val="0"/>
        <w:spacing w:after="0" w:line="240" w:lineRule="auto"/>
        <w:jc w:val="both"/>
        <w:rPr>
          <w:rFonts w:cs="MyriadPro-Bold"/>
          <w:bCs/>
          <w:color w:val="000000"/>
        </w:rPr>
      </w:pPr>
      <w:r>
        <w:rPr>
          <w:rFonts w:cs="MyriadPro-Bold"/>
          <w:bCs/>
          <w:color w:val="000000"/>
        </w:rPr>
        <w:t xml:space="preserve">Ces recommandations sont présentées ci-dessus selon l’ordre d’importance des actions à engager en vue d’améliorer les résultats du projet CB2. Cette hiérarchisation n’enlève en rien de l’importance des actions placées en dernier rang, mais elle est fournie ici pour insister sur l’ordre d’engagement des actions. </w:t>
      </w:r>
      <w:r w:rsidR="00B23BF7">
        <w:rPr>
          <w:rFonts w:cs="MyriadPro-Bold"/>
          <w:bCs/>
          <w:color w:val="000000"/>
        </w:rPr>
        <w:t>Les quatre dernières actions pourraient être conduites en parallèle avec les autres.</w:t>
      </w:r>
    </w:p>
    <w:p w:rsidR="00C17C97" w:rsidRPr="005F317A" w:rsidRDefault="00C17C97" w:rsidP="00AD1A5C">
      <w:pPr>
        <w:autoSpaceDE w:val="0"/>
        <w:autoSpaceDN w:val="0"/>
        <w:adjustRightInd w:val="0"/>
        <w:spacing w:after="0" w:line="240" w:lineRule="auto"/>
        <w:rPr>
          <w:rFonts w:cs="MyriadPro-Bold"/>
          <w:bCs/>
          <w:color w:val="000000"/>
        </w:rPr>
      </w:pPr>
    </w:p>
    <w:p w:rsidR="00C17C97" w:rsidRDefault="00C17C97" w:rsidP="00AD1A5C">
      <w:pPr>
        <w:autoSpaceDE w:val="0"/>
        <w:autoSpaceDN w:val="0"/>
        <w:adjustRightInd w:val="0"/>
        <w:spacing w:after="0" w:line="240" w:lineRule="auto"/>
        <w:rPr>
          <w:rFonts w:cs="MyriadPro-Bold"/>
          <w:b/>
          <w:bCs/>
          <w:color w:val="000000"/>
        </w:rPr>
      </w:pPr>
      <w:r>
        <w:rPr>
          <w:rFonts w:cs="MyriadPro-Bold"/>
          <w:b/>
          <w:bCs/>
          <w:color w:val="000000"/>
        </w:rPr>
        <w:br w:type="page"/>
      </w:r>
    </w:p>
    <w:p w:rsidR="00AD1A5C" w:rsidRPr="005E04CA" w:rsidRDefault="00AD1A5C" w:rsidP="005E04CA">
      <w:pPr>
        <w:pStyle w:val="Titre1"/>
        <w:rPr>
          <w:rFonts w:asciiTheme="minorHAnsi" w:hAnsiTheme="minorHAnsi" w:cs="MyriadPro-Bold"/>
          <w:bCs w:val="0"/>
          <w:color w:val="000000"/>
          <w:sz w:val="22"/>
          <w:szCs w:val="22"/>
        </w:rPr>
      </w:pPr>
      <w:bookmarkStart w:id="23" w:name="_Toc425414558"/>
      <w:r w:rsidRPr="005E04CA">
        <w:rPr>
          <w:rFonts w:asciiTheme="minorHAnsi" w:hAnsiTheme="minorHAnsi" w:cs="MyriadPro-Bold"/>
          <w:bCs w:val="0"/>
          <w:color w:val="000000"/>
          <w:sz w:val="22"/>
          <w:szCs w:val="22"/>
        </w:rPr>
        <w:lastRenderedPageBreak/>
        <w:t>Acronymes et abréviations</w:t>
      </w:r>
      <w:bookmarkEnd w:id="23"/>
    </w:p>
    <w:p w:rsidR="000D7BB5" w:rsidRDefault="000D7BB5" w:rsidP="00AD1A5C">
      <w:pPr>
        <w:autoSpaceDE w:val="0"/>
        <w:autoSpaceDN w:val="0"/>
        <w:adjustRightInd w:val="0"/>
        <w:spacing w:after="0" w:line="240" w:lineRule="auto"/>
        <w:rPr>
          <w:rFonts w:cs="ACaslonPro-Regular"/>
          <w:color w:val="000000"/>
        </w:rPr>
      </w:pPr>
    </w:p>
    <w:p w:rsidR="00B60036" w:rsidRPr="00082537" w:rsidRDefault="00B60036" w:rsidP="00082537">
      <w:pPr>
        <w:pStyle w:val="Paragraphedeliste"/>
        <w:numPr>
          <w:ilvl w:val="0"/>
          <w:numId w:val="18"/>
        </w:numPr>
        <w:autoSpaceDE w:val="0"/>
        <w:autoSpaceDN w:val="0"/>
        <w:adjustRightInd w:val="0"/>
        <w:spacing w:after="0" w:line="240" w:lineRule="auto"/>
        <w:rPr>
          <w:rFonts w:cs="ACaslonPro-Regular"/>
          <w:color w:val="000000"/>
        </w:rPr>
      </w:pPr>
      <w:r w:rsidRPr="00082537">
        <w:rPr>
          <w:rFonts w:cs="ACaslonPro-Regular"/>
          <w:color w:val="000000"/>
        </w:rPr>
        <w:t xml:space="preserve">ACCN : </w:t>
      </w:r>
      <w:r w:rsidR="00082537" w:rsidRPr="00082537">
        <w:rPr>
          <w:rFonts w:cs="ACaslonPro-Regular"/>
          <w:color w:val="000000"/>
        </w:rPr>
        <w:t>Adaptation au Changement Climatique et Valorisation de la Biodiversité – Mise en œuvre du protocole de Nagoya</w:t>
      </w:r>
    </w:p>
    <w:p w:rsidR="00B60036" w:rsidRPr="00082537" w:rsidRDefault="00B60036" w:rsidP="00082537">
      <w:pPr>
        <w:pStyle w:val="Paragraphedeliste"/>
        <w:numPr>
          <w:ilvl w:val="0"/>
          <w:numId w:val="18"/>
        </w:numPr>
        <w:autoSpaceDE w:val="0"/>
        <w:autoSpaceDN w:val="0"/>
        <w:adjustRightInd w:val="0"/>
        <w:spacing w:after="0" w:line="240" w:lineRule="auto"/>
        <w:rPr>
          <w:rFonts w:cs="ACaslonPro-Regular"/>
          <w:color w:val="000000"/>
        </w:rPr>
      </w:pPr>
      <w:r w:rsidRPr="00082537">
        <w:rPr>
          <w:rFonts w:cs="ACaslonPro-Regular"/>
          <w:color w:val="000000"/>
        </w:rPr>
        <w:t>ADAGE : Amélioration de la Décentralisation et Appui à la Gouvernance Environnementale</w:t>
      </w:r>
    </w:p>
    <w:p w:rsidR="00B60036" w:rsidRPr="00082537" w:rsidRDefault="00B60036" w:rsidP="00082537">
      <w:pPr>
        <w:pStyle w:val="Paragraphedeliste"/>
        <w:numPr>
          <w:ilvl w:val="0"/>
          <w:numId w:val="18"/>
        </w:numPr>
        <w:autoSpaceDE w:val="0"/>
        <w:autoSpaceDN w:val="0"/>
        <w:adjustRightInd w:val="0"/>
        <w:spacing w:after="0" w:line="240" w:lineRule="auto"/>
        <w:rPr>
          <w:rFonts w:cs="ACaslonPro-Regular"/>
          <w:color w:val="000000"/>
        </w:rPr>
      </w:pPr>
      <w:r w:rsidRPr="00082537">
        <w:rPr>
          <w:rFonts w:cs="ACaslonPro-Regular"/>
          <w:color w:val="000000"/>
        </w:rPr>
        <w:t>ADELMA : Association de Développement Local méditerranéen</w:t>
      </w:r>
    </w:p>
    <w:p w:rsidR="00B60036" w:rsidRPr="00082537" w:rsidRDefault="00B60036" w:rsidP="00082537">
      <w:pPr>
        <w:pStyle w:val="Paragraphedeliste"/>
        <w:numPr>
          <w:ilvl w:val="0"/>
          <w:numId w:val="18"/>
        </w:numPr>
        <w:autoSpaceDE w:val="0"/>
        <w:autoSpaceDN w:val="0"/>
        <w:adjustRightInd w:val="0"/>
        <w:spacing w:after="0" w:line="240" w:lineRule="auto"/>
        <w:rPr>
          <w:rFonts w:cs="ACaslonPro-Regular"/>
          <w:color w:val="000000"/>
        </w:rPr>
      </w:pPr>
      <w:r w:rsidRPr="00082537">
        <w:rPr>
          <w:rFonts w:cs="ACaslonPro-Regular"/>
          <w:color w:val="000000"/>
        </w:rPr>
        <w:t>ADP : Agent de Développement Provincial-Préfectoral</w:t>
      </w:r>
    </w:p>
    <w:p w:rsidR="00B60036" w:rsidRDefault="00B60036" w:rsidP="00082537">
      <w:pPr>
        <w:pStyle w:val="Paragraphedeliste"/>
        <w:numPr>
          <w:ilvl w:val="0"/>
          <w:numId w:val="18"/>
        </w:numPr>
        <w:autoSpaceDE w:val="0"/>
        <w:autoSpaceDN w:val="0"/>
        <w:adjustRightInd w:val="0"/>
        <w:spacing w:after="0" w:line="240" w:lineRule="auto"/>
        <w:rPr>
          <w:rFonts w:cs="ACaslonPro-Regular"/>
          <w:color w:val="000000"/>
        </w:rPr>
      </w:pPr>
      <w:r w:rsidRPr="00082537">
        <w:rPr>
          <w:rFonts w:cs="ACaslonPro-Regular"/>
          <w:color w:val="000000"/>
        </w:rPr>
        <w:t>ANCR : auto-évaluation nationale des capacités à renforcer</w:t>
      </w:r>
    </w:p>
    <w:p w:rsidR="00E57AA8" w:rsidRPr="00082537" w:rsidRDefault="00E57AA8" w:rsidP="00082537">
      <w:pPr>
        <w:pStyle w:val="Paragraphedeliste"/>
        <w:numPr>
          <w:ilvl w:val="0"/>
          <w:numId w:val="18"/>
        </w:numPr>
        <w:autoSpaceDE w:val="0"/>
        <w:autoSpaceDN w:val="0"/>
        <w:adjustRightInd w:val="0"/>
        <w:spacing w:after="0" w:line="240" w:lineRule="auto"/>
        <w:rPr>
          <w:rFonts w:cs="ACaslonPro-Regular"/>
          <w:color w:val="000000"/>
        </w:rPr>
      </w:pPr>
      <w:r>
        <w:rPr>
          <w:rFonts w:cs="ACaslonPro-Regular"/>
          <w:color w:val="000000"/>
        </w:rPr>
        <w:t>CB : Capacity Building</w:t>
      </w:r>
    </w:p>
    <w:p w:rsidR="001F7052" w:rsidRDefault="001F7052" w:rsidP="00082537">
      <w:pPr>
        <w:pStyle w:val="Paragraphedeliste"/>
        <w:numPr>
          <w:ilvl w:val="0"/>
          <w:numId w:val="18"/>
        </w:numPr>
        <w:autoSpaceDE w:val="0"/>
        <w:autoSpaceDN w:val="0"/>
        <w:adjustRightInd w:val="0"/>
        <w:spacing w:after="0" w:line="240" w:lineRule="auto"/>
        <w:rPr>
          <w:rFonts w:cs="ACaslonPro-Regular"/>
          <w:color w:val="000000"/>
        </w:rPr>
      </w:pPr>
      <w:r>
        <w:rPr>
          <w:rFonts w:cs="ACaslonPro-Regular"/>
          <w:color w:val="000000"/>
        </w:rPr>
        <w:t>CLDH : Comité Local de Développement Humain</w:t>
      </w:r>
    </w:p>
    <w:p w:rsidR="00B60036" w:rsidRPr="00082537" w:rsidRDefault="00B60036" w:rsidP="00082537">
      <w:pPr>
        <w:pStyle w:val="Paragraphedeliste"/>
        <w:numPr>
          <w:ilvl w:val="0"/>
          <w:numId w:val="18"/>
        </w:numPr>
        <w:autoSpaceDE w:val="0"/>
        <w:autoSpaceDN w:val="0"/>
        <w:adjustRightInd w:val="0"/>
        <w:spacing w:after="0" w:line="240" w:lineRule="auto"/>
        <w:rPr>
          <w:rFonts w:cs="ACaslonPro-Regular"/>
          <w:color w:val="000000"/>
        </w:rPr>
      </w:pPr>
      <w:r w:rsidRPr="00082537">
        <w:rPr>
          <w:rFonts w:cs="ACaslonPro-Regular"/>
          <w:color w:val="000000"/>
        </w:rPr>
        <w:t>CN-INDH : Coordination Nationale de l’INDH</w:t>
      </w:r>
    </w:p>
    <w:p w:rsidR="00B60036" w:rsidRPr="00082537" w:rsidRDefault="00B60036" w:rsidP="00082537">
      <w:pPr>
        <w:pStyle w:val="Paragraphedeliste"/>
        <w:numPr>
          <w:ilvl w:val="0"/>
          <w:numId w:val="18"/>
        </w:numPr>
        <w:autoSpaceDE w:val="0"/>
        <w:autoSpaceDN w:val="0"/>
        <w:adjustRightInd w:val="0"/>
        <w:spacing w:after="0" w:line="240" w:lineRule="auto"/>
        <w:rPr>
          <w:rFonts w:cs="ACaslonPro-Regular"/>
          <w:color w:val="000000"/>
        </w:rPr>
      </w:pPr>
      <w:r w:rsidRPr="00082537">
        <w:rPr>
          <w:rFonts w:cs="ACaslonPro-Regular"/>
          <w:color w:val="000000"/>
        </w:rPr>
        <w:t>CNP : Coordinateur National du Projet</w:t>
      </w:r>
    </w:p>
    <w:p w:rsidR="001F7052" w:rsidRDefault="001F7052" w:rsidP="003D0733">
      <w:pPr>
        <w:pStyle w:val="Paragraphedeliste"/>
        <w:numPr>
          <w:ilvl w:val="0"/>
          <w:numId w:val="18"/>
        </w:numPr>
        <w:autoSpaceDE w:val="0"/>
        <w:autoSpaceDN w:val="0"/>
        <w:adjustRightInd w:val="0"/>
        <w:spacing w:after="0" w:line="240" w:lineRule="auto"/>
        <w:rPr>
          <w:rFonts w:cs="ACaslonPro-Regular"/>
          <w:color w:val="000000"/>
        </w:rPr>
      </w:pPr>
      <w:r w:rsidRPr="001F7052">
        <w:rPr>
          <w:rFonts w:cs="ACaslonPro-Regular"/>
          <w:color w:val="000000"/>
        </w:rPr>
        <w:t xml:space="preserve">CPDH : </w:t>
      </w:r>
      <w:r>
        <w:rPr>
          <w:rFonts w:cs="ACaslonPro-Regular"/>
          <w:color w:val="000000"/>
        </w:rPr>
        <w:t>Comité Provincial de Développement Humain</w:t>
      </w:r>
    </w:p>
    <w:p w:rsidR="00B60036" w:rsidRPr="001F7052" w:rsidRDefault="00B60036" w:rsidP="003D0733">
      <w:pPr>
        <w:pStyle w:val="Paragraphedeliste"/>
        <w:numPr>
          <w:ilvl w:val="0"/>
          <w:numId w:val="18"/>
        </w:numPr>
        <w:autoSpaceDE w:val="0"/>
        <w:autoSpaceDN w:val="0"/>
        <w:adjustRightInd w:val="0"/>
        <w:spacing w:after="0" w:line="240" w:lineRule="auto"/>
        <w:rPr>
          <w:rFonts w:cs="ACaslonPro-Regular"/>
          <w:color w:val="000000"/>
        </w:rPr>
      </w:pPr>
      <w:r w:rsidRPr="001F7052">
        <w:rPr>
          <w:rFonts w:cs="ACaslonPro-Regular"/>
          <w:color w:val="000000"/>
        </w:rPr>
        <w:t>CPP : Comité de Pilotage du Projet</w:t>
      </w:r>
    </w:p>
    <w:p w:rsidR="00B60036" w:rsidRPr="00082537" w:rsidRDefault="00B60036" w:rsidP="00082537">
      <w:pPr>
        <w:pStyle w:val="Paragraphedeliste"/>
        <w:numPr>
          <w:ilvl w:val="0"/>
          <w:numId w:val="18"/>
        </w:numPr>
        <w:autoSpaceDE w:val="0"/>
        <w:autoSpaceDN w:val="0"/>
        <w:adjustRightInd w:val="0"/>
        <w:spacing w:after="0" w:line="240" w:lineRule="auto"/>
        <w:rPr>
          <w:rFonts w:cs="ACaslonPro-Regular"/>
          <w:color w:val="000000"/>
        </w:rPr>
      </w:pPr>
      <w:r w:rsidRPr="00082537">
        <w:rPr>
          <w:rFonts w:cs="ACaslonPro-Regular"/>
          <w:color w:val="000000"/>
        </w:rPr>
        <w:t>DEA : Direction de l’Eau et de l’Assainissement</w:t>
      </w:r>
    </w:p>
    <w:p w:rsidR="00B60036" w:rsidRPr="00082537" w:rsidRDefault="00B60036" w:rsidP="00082537">
      <w:pPr>
        <w:pStyle w:val="Paragraphedeliste"/>
        <w:numPr>
          <w:ilvl w:val="0"/>
          <w:numId w:val="18"/>
        </w:numPr>
        <w:autoSpaceDE w:val="0"/>
        <w:autoSpaceDN w:val="0"/>
        <w:adjustRightInd w:val="0"/>
        <w:spacing w:after="0" w:line="240" w:lineRule="auto"/>
        <w:rPr>
          <w:rFonts w:cs="ACaslonPro-Regular"/>
          <w:color w:val="000000"/>
        </w:rPr>
      </w:pPr>
      <w:r w:rsidRPr="00082537">
        <w:rPr>
          <w:rFonts w:cs="ACaslonPro-Regular"/>
          <w:color w:val="000000"/>
        </w:rPr>
        <w:t>DFCAT : Direction de la Formation des Cadres administratifs et techniques</w:t>
      </w:r>
    </w:p>
    <w:p w:rsidR="00B60036" w:rsidRPr="00082537" w:rsidRDefault="00B60036" w:rsidP="00082537">
      <w:pPr>
        <w:pStyle w:val="Paragraphedeliste"/>
        <w:numPr>
          <w:ilvl w:val="0"/>
          <w:numId w:val="18"/>
        </w:numPr>
        <w:autoSpaceDE w:val="0"/>
        <w:autoSpaceDN w:val="0"/>
        <w:adjustRightInd w:val="0"/>
        <w:spacing w:after="0" w:line="240" w:lineRule="auto"/>
        <w:rPr>
          <w:rFonts w:cs="ACaslonPro-Regular"/>
          <w:color w:val="000000"/>
        </w:rPr>
      </w:pPr>
      <w:r w:rsidRPr="00082537">
        <w:rPr>
          <w:rFonts w:cs="ACaslonPro-Regular"/>
          <w:color w:val="000000"/>
        </w:rPr>
        <w:t>DGCL : Direction Générale des Collectivités Locales</w:t>
      </w:r>
    </w:p>
    <w:p w:rsidR="00B60036" w:rsidRPr="00082537" w:rsidRDefault="00B60036" w:rsidP="00082537">
      <w:pPr>
        <w:pStyle w:val="Paragraphedeliste"/>
        <w:numPr>
          <w:ilvl w:val="0"/>
          <w:numId w:val="18"/>
        </w:numPr>
        <w:autoSpaceDE w:val="0"/>
        <w:autoSpaceDN w:val="0"/>
        <w:adjustRightInd w:val="0"/>
        <w:spacing w:after="0" w:line="240" w:lineRule="auto"/>
        <w:rPr>
          <w:rFonts w:cs="ACaslonPro-Regular"/>
          <w:color w:val="000000"/>
        </w:rPr>
      </w:pPr>
      <w:r w:rsidRPr="00082537">
        <w:rPr>
          <w:rFonts w:cs="ACaslonPro-Regular"/>
          <w:color w:val="000000"/>
        </w:rPr>
        <w:t>DPCC : Direction du Partenariat, de la Communication et de la Coopération</w:t>
      </w:r>
    </w:p>
    <w:p w:rsidR="00B60036" w:rsidRPr="00082537" w:rsidRDefault="00B60036" w:rsidP="00082537">
      <w:pPr>
        <w:pStyle w:val="Paragraphedeliste"/>
        <w:numPr>
          <w:ilvl w:val="0"/>
          <w:numId w:val="18"/>
        </w:numPr>
        <w:autoSpaceDE w:val="0"/>
        <w:autoSpaceDN w:val="0"/>
        <w:adjustRightInd w:val="0"/>
        <w:spacing w:after="0" w:line="240" w:lineRule="auto"/>
        <w:rPr>
          <w:rFonts w:cs="ACaslonPro-Regular"/>
          <w:color w:val="000000"/>
        </w:rPr>
      </w:pPr>
      <w:r w:rsidRPr="00082537">
        <w:rPr>
          <w:rFonts w:cs="ACaslonPro-Regular"/>
          <w:color w:val="000000"/>
        </w:rPr>
        <w:t>DPE : Direction de la Planification et de l’Équipement</w:t>
      </w:r>
    </w:p>
    <w:p w:rsidR="00B60036" w:rsidRPr="00082537" w:rsidRDefault="00B60036" w:rsidP="00082537">
      <w:pPr>
        <w:pStyle w:val="Paragraphedeliste"/>
        <w:numPr>
          <w:ilvl w:val="0"/>
          <w:numId w:val="18"/>
        </w:numPr>
        <w:autoSpaceDE w:val="0"/>
        <w:autoSpaceDN w:val="0"/>
        <w:adjustRightInd w:val="0"/>
        <w:spacing w:after="0" w:line="240" w:lineRule="auto"/>
        <w:rPr>
          <w:rFonts w:cs="ACaslonPro-Regular"/>
          <w:color w:val="000000"/>
        </w:rPr>
      </w:pPr>
      <w:r w:rsidRPr="00082537">
        <w:rPr>
          <w:rFonts w:cs="ACaslonPro-Regular"/>
          <w:color w:val="000000"/>
        </w:rPr>
        <w:t>EES : Évaluation Environnementale Stratégique</w:t>
      </w:r>
    </w:p>
    <w:p w:rsidR="00B60036" w:rsidRDefault="00B60036" w:rsidP="00082537">
      <w:pPr>
        <w:pStyle w:val="Paragraphedeliste"/>
        <w:numPr>
          <w:ilvl w:val="0"/>
          <w:numId w:val="18"/>
        </w:numPr>
        <w:autoSpaceDE w:val="0"/>
        <w:autoSpaceDN w:val="0"/>
        <w:adjustRightInd w:val="0"/>
        <w:spacing w:after="0" w:line="240" w:lineRule="auto"/>
        <w:rPr>
          <w:rFonts w:cs="ACaslonPro-Regular"/>
          <w:color w:val="000000"/>
        </w:rPr>
      </w:pPr>
      <w:r w:rsidRPr="00082537">
        <w:rPr>
          <w:rFonts w:cs="ACaslonPro-Regular"/>
          <w:color w:val="000000"/>
        </w:rPr>
        <w:t>FEM : Fond pour l’Environnement Mondial</w:t>
      </w:r>
    </w:p>
    <w:p w:rsidR="00E57AA8" w:rsidRPr="00082537" w:rsidRDefault="00E57AA8" w:rsidP="00082537">
      <w:pPr>
        <w:pStyle w:val="Paragraphedeliste"/>
        <w:numPr>
          <w:ilvl w:val="0"/>
          <w:numId w:val="18"/>
        </w:numPr>
        <w:autoSpaceDE w:val="0"/>
        <w:autoSpaceDN w:val="0"/>
        <w:adjustRightInd w:val="0"/>
        <w:spacing w:after="0" w:line="240" w:lineRule="auto"/>
        <w:rPr>
          <w:rFonts w:cs="ACaslonPro-Regular"/>
          <w:color w:val="000000"/>
        </w:rPr>
      </w:pPr>
      <w:r>
        <w:rPr>
          <w:rFonts w:cs="ACaslonPro-Regular"/>
          <w:color w:val="000000"/>
        </w:rPr>
        <w:t>GEF : Global Environment Fund</w:t>
      </w:r>
    </w:p>
    <w:p w:rsidR="00B60036" w:rsidRPr="00082537" w:rsidRDefault="00B60036" w:rsidP="00082537">
      <w:pPr>
        <w:pStyle w:val="Paragraphedeliste"/>
        <w:numPr>
          <w:ilvl w:val="0"/>
          <w:numId w:val="18"/>
        </w:numPr>
        <w:autoSpaceDE w:val="0"/>
        <w:autoSpaceDN w:val="0"/>
        <w:adjustRightInd w:val="0"/>
        <w:spacing w:after="0" w:line="240" w:lineRule="auto"/>
        <w:rPr>
          <w:rFonts w:cs="ACaslonPro-Regular"/>
          <w:color w:val="000000"/>
        </w:rPr>
      </w:pPr>
      <w:r w:rsidRPr="00082537">
        <w:rPr>
          <w:rFonts w:cs="ACaslonPro-Regular"/>
          <w:color w:val="000000"/>
        </w:rPr>
        <w:t>GIZ : Coopération allemande</w:t>
      </w:r>
    </w:p>
    <w:p w:rsidR="00B60036" w:rsidRPr="00082537" w:rsidRDefault="00B60036" w:rsidP="00082537">
      <w:pPr>
        <w:pStyle w:val="Paragraphedeliste"/>
        <w:numPr>
          <w:ilvl w:val="0"/>
          <w:numId w:val="18"/>
        </w:numPr>
        <w:autoSpaceDE w:val="0"/>
        <w:autoSpaceDN w:val="0"/>
        <w:adjustRightInd w:val="0"/>
        <w:spacing w:after="0" w:line="240" w:lineRule="auto"/>
        <w:rPr>
          <w:rFonts w:cs="ACaslonPro-Regular"/>
          <w:color w:val="000000"/>
        </w:rPr>
      </w:pPr>
      <w:r w:rsidRPr="00082537">
        <w:rPr>
          <w:rFonts w:cs="ACaslonPro-Regular"/>
          <w:color w:val="000000"/>
        </w:rPr>
        <w:t>GREET : Groupes Régionaux sur les Enjeux Environnementaux Transversaux</w:t>
      </w:r>
    </w:p>
    <w:p w:rsidR="00B60036" w:rsidRPr="00082537" w:rsidRDefault="00B60036" w:rsidP="00082537">
      <w:pPr>
        <w:pStyle w:val="Paragraphedeliste"/>
        <w:numPr>
          <w:ilvl w:val="0"/>
          <w:numId w:val="18"/>
        </w:numPr>
        <w:autoSpaceDE w:val="0"/>
        <w:autoSpaceDN w:val="0"/>
        <w:adjustRightInd w:val="0"/>
        <w:spacing w:after="0" w:line="240" w:lineRule="auto"/>
        <w:rPr>
          <w:rFonts w:cs="ACaslonPro-Regular"/>
          <w:color w:val="000000"/>
        </w:rPr>
      </w:pPr>
      <w:r w:rsidRPr="00082537">
        <w:rPr>
          <w:rFonts w:cs="ACaslonPro-Regular"/>
          <w:color w:val="000000"/>
        </w:rPr>
        <w:t xml:space="preserve">HS : </w:t>
      </w:r>
      <w:r w:rsidRPr="00082537">
        <w:rPr>
          <w:rFonts w:cs="ACaslonPro-Regular"/>
          <w:color w:val="000000"/>
          <w:lang w:val="en-US"/>
        </w:rPr>
        <w:t>Highly satisfactory</w:t>
      </w:r>
      <w:r w:rsidRPr="00082537">
        <w:rPr>
          <w:rFonts w:cs="ACaslonPro-Regular"/>
          <w:color w:val="000000"/>
        </w:rPr>
        <w:t xml:space="preserve"> (Très satisfaisant)</w:t>
      </w:r>
    </w:p>
    <w:p w:rsidR="00B60036" w:rsidRPr="00082537" w:rsidRDefault="00B60036" w:rsidP="00082537">
      <w:pPr>
        <w:pStyle w:val="Paragraphedeliste"/>
        <w:numPr>
          <w:ilvl w:val="0"/>
          <w:numId w:val="18"/>
        </w:numPr>
        <w:autoSpaceDE w:val="0"/>
        <w:autoSpaceDN w:val="0"/>
        <w:adjustRightInd w:val="0"/>
        <w:spacing w:after="0" w:line="240" w:lineRule="auto"/>
        <w:rPr>
          <w:rFonts w:cs="ACaslonPro-Regular"/>
          <w:color w:val="000000"/>
        </w:rPr>
      </w:pPr>
      <w:r w:rsidRPr="00082537">
        <w:rPr>
          <w:rFonts w:cs="ACaslonPro-Regular"/>
          <w:color w:val="000000"/>
        </w:rPr>
        <w:t xml:space="preserve">HU : </w:t>
      </w:r>
      <w:r w:rsidRPr="00082537">
        <w:rPr>
          <w:rFonts w:cs="ACaslonPro-Regular"/>
          <w:color w:val="000000"/>
          <w:lang w:val="en-US"/>
        </w:rPr>
        <w:t>Highly unsatisfactory</w:t>
      </w:r>
      <w:r w:rsidRPr="00082537">
        <w:rPr>
          <w:rFonts w:cs="ACaslonPro-Regular"/>
          <w:color w:val="000000"/>
        </w:rPr>
        <w:t xml:space="preserve"> (Très insatisfaisant)</w:t>
      </w:r>
    </w:p>
    <w:p w:rsidR="00B60036" w:rsidRPr="00082537" w:rsidRDefault="00B60036" w:rsidP="00082537">
      <w:pPr>
        <w:pStyle w:val="Paragraphedeliste"/>
        <w:numPr>
          <w:ilvl w:val="0"/>
          <w:numId w:val="18"/>
        </w:numPr>
        <w:autoSpaceDE w:val="0"/>
        <w:autoSpaceDN w:val="0"/>
        <w:adjustRightInd w:val="0"/>
        <w:spacing w:after="0" w:line="240" w:lineRule="auto"/>
        <w:rPr>
          <w:rFonts w:cs="ACaslonPro-Regular"/>
          <w:color w:val="000000"/>
        </w:rPr>
      </w:pPr>
      <w:r w:rsidRPr="00082537">
        <w:rPr>
          <w:rFonts w:cs="ACaslonPro-Regular"/>
          <w:color w:val="000000"/>
        </w:rPr>
        <w:t>IEL : Intégration de l’Environnement mondial dans la gestion Locale</w:t>
      </w:r>
    </w:p>
    <w:p w:rsidR="00B60036" w:rsidRPr="00082537" w:rsidRDefault="00B60036" w:rsidP="00082537">
      <w:pPr>
        <w:pStyle w:val="Paragraphedeliste"/>
        <w:numPr>
          <w:ilvl w:val="0"/>
          <w:numId w:val="18"/>
        </w:numPr>
        <w:autoSpaceDE w:val="0"/>
        <w:autoSpaceDN w:val="0"/>
        <w:adjustRightInd w:val="0"/>
        <w:spacing w:after="0" w:line="240" w:lineRule="auto"/>
        <w:rPr>
          <w:rFonts w:cs="ACaslonPro-Regular"/>
          <w:color w:val="000000"/>
        </w:rPr>
      </w:pPr>
      <w:r w:rsidRPr="00082537">
        <w:rPr>
          <w:rFonts w:cs="ACaslonPro-Regular"/>
          <w:color w:val="000000"/>
        </w:rPr>
        <w:t>ILDH : Initiative Locale de Développement Humain</w:t>
      </w:r>
    </w:p>
    <w:p w:rsidR="00B60036" w:rsidRDefault="00B60036" w:rsidP="00082537">
      <w:pPr>
        <w:pStyle w:val="Paragraphedeliste"/>
        <w:numPr>
          <w:ilvl w:val="0"/>
          <w:numId w:val="18"/>
        </w:numPr>
        <w:autoSpaceDE w:val="0"/>
        <w:autoSpaceDN w:val="0"/>
        <w:adjustRightInd w:val="0"/>
        <w:spacing w:after="0" w:line="240" w:lineRule="auto"/>
        <w:rPr>
          <w:rFonts w:cs="ACaslonPro-Regular"/>
          <w:color w:val="000000"/>
        </w:rPr>
      </w:pPr>
      <w:r w:rsidRPr="00082537">
        <w:rPr>
          <w:rFonts w:cs="ACaslonPro-Regular"/>
          <w:color w:val="000000"/>
        </w:rPr>
        <w:t>INDH : Initiative Nationale pour le Développement Humain</w:t>
      </w:r>
    </w:p>
    <w:p w:rsidR="00E57AA8" w:rsidRPr="00082537" w:rsidRDefault="00E57AA8" w:rsidP="00082537">
      <w:pPr>
        <w:pStyle w:val="Paragraphedeliste"/>
        <w:numPr>
          <w:ilvl w:val="0"/>
          <w:numId w:val="18"/>
        </w:numPr>
        <w:autoSpaceDE w:val="0"/>
        <w:autoSpaceDN w:val="0"/>
        <w:adjustRightInd w:val="0"/>
        <w:spacing w:after="0" w:line="240" w:lineRule="auto"/>
        <w:rPr>
          <w:rFonts w:cs="ACaslonPro-Regular"/>
          <w:color w:val="000000"/>
        </w:rPr>
      </w:pPr>
      <w:r>
        <w:rPr>
          <w:rFonts w:cs="ACaslonPro-Regular"/>
          <w:color w:val="000000"/>
        </w:rPr>
        <w:t>MI : Ministère de l’Intérieur</w:t>
      </w:r>
    </w:p>
    <w:p w:rsidR="00B60036" w:rsidRPr="00082537" w:rsidRDefault="00B60036" w:rsidP="00082537">
      <w:pPr>
        <w:pStyle w:val="Paragraphedeliste"/>
        <w:numPr>
          <w:ilvl w:val="0"/>
          <w:numId w:val="18"/>
        </w:numPr>
        <w:autoSpaceDE w:val="0"/>
        <w:autoSpaceDN w:val="0"/>
        <w:adjustRightInd w:val="0"/>
        <w:spacing w:after="0" w:line="240" w:lineRule="auto"/>
        <w:rPr>
          <w:rFonts w:cs="ACaslonPro-Regular"/>
          <w:color w:val="000000"/>
        </w:rPr>
      </w:pPr>
      <w:r w:rsidRPr="00082537">
        <w:rPr>
          <w:rFonts w:cs="ACaslonPro-Regular"/>
          <w:color w:val="000000"/>
        </w:rPr>
        <w:t xml:space="preserve">MS : </w:t>
      </w:r>
      <w:r w:rsidRPr="00082537">
        <w:rPr>
          <w:rFonts w:cs="ACaslonPro-Regular"/>
          <w:color w:val="000000"/>
          <w:lang w:val="en-US"/>
        </w:rPr>
        <w:t>Moderately satisfactory</w:t>
      </w:r>
      <w:r w:rsidRPr="00082537">
        <w:rPr>
          <w:rFonts w:cs="ACaslonPro-Regular"/>
          <w:color w:val="000000"/>
        </w:rPr>
        <w:t xml:space="preserve"> (Modérément satisfaisant)   </w:t>
      </w:r>
    </w:p>
    <w:p w:rsidR="00B60036" w:rsidRPr="00082537" w:rsidRDefault="00B60036" w:rsidP="00082537">
      <w:pPr>
        <w:pStyle w:val="Paragraphedeliste"/>
        <w:numPr>
          <w:ilvl w:val="0"/>
          <w:numId w:val="18"/>
        </w:numPr>
        <w:autoSpaceDE w:val="0"/>
        <w:autoSpaceDN w:val="0"/>
        <w:adjustRightInd w:val="0"/>
        <w:spacing w:after="0" w:line="240" w:lineRule="auto"/>
        <w:rPr>
          <w:rFonts w:cs="ACaslonPro-Regular"/>
          <w:color w:val="000000"/>
        </w:rPr>
      </w:pPr>
      <w:r w:rsidRPr="00082537">
        <w:rPr>
          <w:rFonts w:cs="ACaslonPro-Regular"/>
          <w:color w:val="000000"/>
        </w:rPr>
        <w:t xml:space="preserve">MU : </w:t>
      </w:r>
      <w:r w:rsidRPr="00082537">
        <w:rPr>
          <w:rFonts w:cs="ACaslonPro-Regular"/>
          <w:color w:val="000000"/>
          <w:lang w:val="en-US"/>
        </w:rPr>
        <w:t>Moderately unsatisfactory</w:t>
      </w:r>
      <w:r w:rsidRPr="00082537">
        <w:rPr>
          <w:rFonts w:cs="ACaslonPro-Regular"/>
          <w:color w:val="000000"/>
        </w:rPr>
        <w:t xml:space="preserve"> (Modérément Insatisfaisant)  </w:t>
      </w:r>
    </w:p>
    <w:p w:rsidR="001F7052" w:rsidRDefault="001F7052" w:rsidP="001F7052">
      <w:pPr>
        <w:pStyle w:val="Paragraphedeliste"/>
        <w:numPr>
          <w:ilvl w:val="0"/>
          <w:numId w:val="18"/>
        </w:numPr>
        <w:autoSpaceDE w:val="0"/>
        <w:autoSpaceDN w:val="0"/>
        <w:adjustRightInd w:val="0"/>
        <w:spacing w:after="0" w:line="240" w:lineRule="auto"/>
        <w:rPr>
          <w:rFonts w:cs="ACaslonPro-Regular"/>
          <w:color w:val="000000"/>
        </w:rPr>
      </w:pPr>
      <w:r>
        <w:rPr>
          <w:rFonts w:cs="ACaslonPro-Regular"/>
          <w:color w:val="000000"/>
        </w:rPr>
        <w:t xml:space="preserve">ONEM : </w:t>
      </w:r>
      <w:r w:rsidRPr="001F7052">
        <w:rPr>
          <w:rFonts w:cs="ACaslonPro-Regular"/>
          <w:color w:val="000000"/>
        </w:rPr>
        <w:t>Observatoire National de l'environnement du Maroc</w:t>
      </w:r>
    </w:p>
    <w:p w:rsidR="00E57AA8" w:rsidRDefault="00E57AA8" w:rsidP="001F7052">
      <w:pPr>
        <w:pStyle w:val="Paragraphedeliste"/>
        <w:numPr>
          <w:ilvl w:val="0"/>
          <w:numId w:val="18"/>
        </w:numPr>
        <w:autoSpaceDE w:val="0"/>
        <w:autoSpaceDN w:val="0"/>
        <w:adjustRightInd w:val="0"/>
        <w:spacing w:after="0" w:line="240" w:lineRule="auto"/>
        <w:rPr>
          <w:rFonts w:cs="ACaslonPro-Regular"/>
          <w:color w:val="000000"/>
        </w:rPr>
      </w:pPr>
      <w:r>
        <w:rPr>
          <w:rFonts w:cs="ACaslonPro-Regular"/>
          <w:color w:val="000000"/>
        </w:rPr>
        <w:t>ONG : Organisation Non Gouvernementale</w:t>
      </w:r>
    </w:p>
    <w:p w:rsidR="00B60036" w:rsidRPr="00082537" w:rsidRDefault="00B60036" w:rsidP="00082537">
      <w:pPr>
        <w:pStyle w:val="Paragraphedeliste"/>
        <w:numPr>
          <w:ilvl w:val="0"/>
          <w:numId w:val="18"/>
        </w:numPr>
        <w:autoSpaceDE w:val="0"/>
        <w:autoSpaceDN w:val="0"/>
        <w:adjustRightInd w:val="0"/>
        <w:spacing w:after="0" w:line="240" w:lineRule="auto"/>
        <w:rPr>
          <w:rFonts w:cs="ACaslonPro-Regular"/>
          <w:color w:val="000000"/>
        </w:rPr>
      </w:pPr>
      <w:r w:rsidRPr="00082537">
        <w:rPr>
          <w:rFonts w:cs="ACaslonPro-Regular"/>
          <w:color w:val="000000"/>
        </w:rPr>
        <w:t>OREDD : Observatoire régional de l’Environnement et de Développement Durable</w:t>
      </w:r>
    </w:p>
    <w:p w:rsidR="00B60036" w:rsidRPr="00082537" w:rsidRDefault="00B60036" w:rsidP="00082537">
      <w:pPr>
        <w:pStyle w:val="Paragraphedeliste"/>
        <w:numPr>
          <w:ilvl w:val="0"/>
          <w:numId w:val="18"/>
        </w:numPr>
        <w:autoSpaceDE w:val="0"/>
        <w:autoSpaceDN w:val="0"/>
        <w:adjustRightInd w:val="0"/>
        <w:spacing w:after="0" w:line="240" w:lineRule="auto"/>
        <w:rPr>
          <w:rFonts w:cs="ACaslonPro-Regular"/>
          <w:color w:val="000000"/>
        </w:rPr>
      </w:pPr>
      <w:r w:rsidRPr="00082537">
        <w:rPr>
          <w:rFonts w:cs="ACaslonPro-Regular"/>
          <w:color w:val="000000"/>
        </w:rPr>
        <w:t>PCD : Plans communaux de Développement</w:t>
      </w:r>
    </w:p>
    <w:p w:rsidR="00B60036" w:rsidRPr="00082537" w:rsidRDefault="00B60036" w:rsidP="00082537">
      <w:pPr>
        <w:pStyle w:val="Paragraphedeliste"/>
        <w:numPr>
          <w:ilvl w:val="0"/>
          <w:numId w:val="18"/>
        </w:numPr>
        <w:autoSpaceDE w:val="0"/>
        <w:autoSpaceDN w:val="0"/>
        <w:adjustRightInd w:val="0"/>
        <w:spacing w:after="0" w:line="240" w:lineRule="auto"/>
        <w:rPr>
          <w:rFonts w:cs="ACaslonPro-Regular"/>
          <w:color w:val="000000"/>
        </w:rPr>
      </w:pPr>
      <w:r w:rsidRPr="00082537">
        <w:rPr>
          <w:rFonts w:cs="ACaslonPro-Regular"/>
          <w:color w:val="000000"/>
        </w:rPr>
        <w:t>PNUD : Programme des Nations Unies pour le Développement</w:t>
      </w:r>
    </w:p>
    <w:p w:rsidR="00B60036" w:rsidRPr="00082537" w:rsidRDefault="00B60036" w:rsidP="00082537">
      <w:pPr>
        <w:pStyle w:val="Paragraphedeliste"/>
        <w:numPr>
          <w:ilvl w:val="0"/>
          <w:numId w:val="18"/>
        </w:numPr>
        <w:autoSpaceDE w:val="0"/>
        <w:autoSpaceDN w:val="0"/>
        <w:adjustRightInd w:val="0"/>
        <w:spacing w:after="0" w:line="240" w:lineRule="auto"/>
        <w:rPr>
          <w:rFonts w:cs="ACaslonPro-Regular"/>
          <w:color w:val="000000"/>
        </w:rPr>
      </w:pPr>
      <w:r w:rsidRPr="00082537">
        <w:rPr>
          <w:rFonts w:cs="ACaslonPro-Regular"/>
          <w:color w:val="000000"/>
        </w:rPr>
        <w:t>RSMD : Région de Sous-Massa-Draa</w:t>
      </w:r>
    </w:p>
    <w:p w:rsidR="00B60036" w:rsidRPr="00082537" w:rsidRDefault="00B60036" w:rsidP="00082537">
      <w:pPr>
        <w:pStyle w:val="Paragraphedeliste"/>
        <w:numPr>
          <w:ilvl w:val="0"/>
          <w:numId w:val="18"/>
        </w:numPr>
        <w:autoSpaceDE w:val="0"/>
        <w:autoSpaceDN w:val="0"/>
        <w:adjustRightInd w:val="0"/>
        <w:spacing w:after="0" w:line="240" w:lineRule="auto"/>
        <w:rPr>
          <w:rFonts w:cs="ACaslonPro-Regular"/>
          <w:color w:val="000000"/>
        </w:rPr>
      </w:pPr>
      <w:r w:rsidRPr="00082537">
        <w:rPr>
          <w:rFonts w:cs="ACaslonPro-Regular"/>
          <w:color w:val="000000"/>
        </w:rPr>
        <w:t>RTT : Région de Tanger-Tétouan</w:t>
      </w:r>
    </w:p>
    <w:p w:rsidR="00B60036" w:rsidRPr="00082537" w:rsidRDefault="00B60036" w:rsidP="00082537">
      <w:pPr>
        <w:pStyle w:val="Paragraphedeliste"/>
        <w:numPr>
          <w:ilvl w:val="0"/>
          <w:numId w:val="18"/>
        </w:numPr>
        <w:autoSpaceDE w:val="0"/>
        <w:autoSpaceDN w:val="0"/>
        <w:adjustRightInd w:val="0"/>
        <w:spacing w:after="0" w:line="240" w:lineRule="auto"/>
        <w:rPr>
          <w:rFonts w:cs="ACaslonPro-Regular"/>
          <w:color w:val="000000"/>
        </w:rPr>
      </w:pPr>
      <w:r w:rsidRPr="00082537">
        <w:rPr>
          <w:rFonts w:cs="ACaslonPro-Regular"/>
          <w:color w:val="000000"/>
        </w:rPr>
        <w:t xml:space="preserve">S : </w:t>
      </w:r>
      <w:r w:rsidRPr="00082537">
        <w:rPr>
          <w:rFonts w:cs="ACaslonPro-Regular"/>
          <w:color w:val="000000"/>
          <w:lang w:val="en-US"/>
        </w:rPr>
        <w:t>Satisfactory</w:t>
      </w:r>
      <w:r w:rsidRPr="00082537">
        <w:rPr>
          <w:rFonts w:cs="ACaslonPro-Regular"/>
          <w:color w:val="000000"/>
        </w:rPr>
        <w:t xml:space="preserve"> (Satisfaisant) </w:t>
      </w:r>
    </w:p>
    <w:p w:rsidR="00B60036" w:rsidRPr="00082537" w:rsidRDefault="00B60036" w:rsidP="00082537">
      <w:pPr>
        <w:pStyle w:val="Paragraphedeliste"/>
        <w:numPr>
          <w:ilvl w:val="0"/>
          <w:numId w:val="18"/>
        </w:numPr>
        <w:autoSpaceDE w:val="0"/>
        <w:autoSpaceDN w:val="0"/>
        <w:adjustRightInd w:val="0"/>
        <w:spacing w:after="0" w:line="240" w:lineRule="auto"/>
        <w:rPr>
          <w:rFonts w:cs="ACaslonPro-Regular"/>
          <w:color w:val="000000"/>
        </w:rPr>
      </w:pPr>
      <w:r w:rsidRPr="00082537">
        <w:rPr>
          <w:rFonts w:cs="ACaslonPro-Regular"/>
          <w:color w:val="000000"/>
        </w:rPr>
        <w:t xml:space="preserve">U : </w:t>
      </w:r>
      <w:r w:rsidRPr="00082537">
        <w:rPr>
          <w:rFonts w:cs="ACaslonPro-Regular"/>
          <w:color w:val="000000"/>
          <w:lang w:val="en-US"/>
        </w:rPr>
        <w:t>Unsatisfactory</w:t>
      </w:r>
      <w:r w:rsidRPr="00082537">
        <w:rPr>
          <w:rFonts w:cs="ACaslonPro-Regular"/>
          <w:color w:val="000000"/>
        </w:rPr>
        <w:t xml:space="preserve"> (Insatisfaisant) </w:t>
      </w:r>
    </w:p>
    <w:p w:rsidR="00B60036" w:rsidRPr="00082537" w:rsidRDefault="00B60036" w:rsidP="00082537">
      <w:pPr>
        <w:pStyle w:val="Paragraphedeliste"/>
        <w:numPr>
          <w:ilvl w:val="0"/>
          <w:numId w:val="18"/>
        </w:numPr>
        <w:autoSpaceDE w:val="0"/>
        <w:autoSpaceDN w:val="0"/>
        <w:adjustRightInd w:val="0"/>
        <w:spacing w:after="0" w:line="240" w:lineRule="auto"/>
        <w:rPr>
          <w:rFonts w:cs="ACaslonPro-Regular"/>
          <w:color w:val="000000"/>
        </w:rPr>
      </w:pPr>
      <w:r w:rsidRPr="00082537">
        <w:rPr>
          <w:rFonts w:cs="ACaslonPro-Regular"/>
          <w:color w:val="000000"/>
        </w:rPr>
        <w:t>UGP : Unité de Gestion du Projet</w:t>
      </w:r>
    </w:p>
    <w:p w:rsidR="00B60036" w:rsidRDefault="00B60036" w:rsidP="00B60036">
      <w:pPr>
        <w:autoSpaceDE w:val="0"/>
        <w:autoSpaceDN w:val="0"/>
        <w:adjustRightInd w:val="0"/>
        <w:spacing w:after="0" w:line="240" w:lineRule="auto"/>
        <w:rPr>
          <w:rFonts w:cs="ACaslonPro-Regular"/>
          <w:color w:val="000000"/>
        </w:rPr>
      </w:pPr>
    </w:p>
    <w:p w:rsidR="00B60036" w:rsidRDefault="00B60036" w:rsidP="00B60036">
      <w:pPr>
        <w:autoSpaceDE w:val="0"/>
        <w:autoSpaceDN w:val="0"/>
        <w:adjustRightInd w:val="0"/>
        <w:spacing w:after="0" w:line="240" w:lineRule="auto"/>
        <w:rPr>
          <w:rFonts w:cs="ACaslonPro-Regular"/>
          <w:color w:val="000000"/>
        </w:rPr>
      </w:pPr>
    </w:p>
    <w:p w:rsidR="00B60036" w:rsidRDefault="00B60036" w:rsidP="00B60036">
      <w:pPr>
        <w:autoSpaceDE w:val="0"/>
        <w:autoSpaceDN w:val="0"/>
        <w:adjustRightInd w:val="0"/>
        <w:spacing w:after="0" w:line="240" w:lineRule="auto"/>
        <w:rPr>
          <w:rFonts w:cs="ACaslonPro-Regular"/>
          <w:color w:val="000000"/>
        </w:rPr>
        <w:sectPr w:rsidR="00B60036" w:rsidSect="00E951CD">
          <w:pgSz w:w="11906" w:h="16838"/>
          <w:pgMar w:top="1417" w:right="1417" w:bottom="1417" w:left="1417" w:header="708" w:footer="708" w:gutter="0"/>
          <w:cols w:space="708"/>
          <w:titlePg/>
          <w:docGrid w:linePitch="360"/>
        </w:sectPr>
      </w:pPr>
    </w:p>
    <w:p w:rsidR="00AD1A5C" w:rsidRPr="00C041B6" w:rsidRDefault="00AD1A5C" w:rsidP="00B75CED">
      <w:pPr>
        <w:pStyle w:val="Paragraphedeliste"/>
        <w:numPr>
          <w:ilvl w:val="0"/>
          <w:numId w:val="2"/>
        </w:numPr>
        <w:autoSpaceDE w:val="0"/>
        <w:autoSpaceDN w:val="0"/>
        <w:adjustRightInd w:val="0"/>
        <w:spacing w:after="0" w:line="240" w:lineRule="auto"/>
        <w:ind w:hanging="229"/>
        <w:outlineLvl w:val="0"/>
        <w:rPr>
          <w:rFonts w:cs="MyriadPro-Bold"/>
          <w:b/>
          <w:bCs/>
          <w:color w:val="000000"/>
        </w:rPr>
      </w:pPr>
      <w:bookmarkStart w:id="24" w:name="_Toc425414559"/>
      <w:r w:rsidRPr="00C041B6">
        <w:rPr>
          <w:rFonts w:cs="MyriadPro-Bold"/>
          <w:b/>
          <w:bCs/>
          <w:color w:val="000000"/>
        </w:rPr>
        <w:lastRenderedPageBreak/>
        <w:t>Introduction</w:t>
      </w:r>
      <w:bookmarkEnd w:id="24"/>
    </w:p>
    <w:p w:rsidR="00AD1A5C" w:rsidRPr="00B75CED" w:rsidRDefault="00B75CED" w:rsidP="00B75CED">
      <w:pPr>
        <w:pStyle w:val="Titre2"/>
        <w:spacing w:before="0"/>
        <w:rPr>
          <w:rFonts w:asciiTheme="minorHAnsi" w:hAnsiTheme="minorHAnsi" w:cs="ACaslonPro-Regular"/>
          <w:color w:val="000000"/>
          <w:sz w:val="22"/>
          <w:szCs w:val="22"/>
        </w:rPr>
      </w:pPr>
      <w:bookmarkStart w:id="25" w:name="_Toc425414560"/>
      <w:r w:rsidRPr="00B75CED">
        <w:rPr>
          <w:rFonts w:asciiTheme="minorHAnsi" w:hAnsiTheme="minorHAnsi" w:cs="ACaslonPro-Regular"/>
          <w:color w:val="000000"/>
          <w:sz w:val="22"/>
          <w:szCs w:val="22"/>
        </w:rPr>
        <w:t xml:space="preserve">I.1 </w:t>
      </w:r>
      <w:r w:rsidR="00AD1A5C" w:rsidRPr="00B75CED">
        <w:rPr>
          <w:rFonts w:asciiTheme="minorHAnsi" w:hAnsiTheme="minorHAnsi" w:cs="ACaslonPro-Regular"/>
          <w:color w:val="000000"/>
          <w:sz w:val="22"/>
          <w:szCs w:val="22"/>
        </w:rPr>
        <w:t>Objectif de l’évaluation</w:t>
      </w:r>
      <w:bookmarkEnd w:id="25"/>
    </w:p>
    <w:p w:rsidR="00B6749A" w:rsidRDefault="00B6749A" w:rsidP="00B6749A">
      <w:pPr>
        <w:autoSpaceDE w:val="0"/>
        <w:autoSpaceDN w:val="0"/>
        <w:adjustRightInd w:val="0"/>
        <w:spacing w:after="0" w:line="240" w:lineRule="auto"/>
        <w:jc w:val="both"/>
        <w:rPr>
          <w:rFonts w:cs="ACaslonPro-Regular"/>
          <w:color w:val="000000"/>
        </w:rPr>
      </w:pPr>
      <w:r>
        <w:rPr>
          <w:rFonts w:cs="ACaslonPro-Regular"/>
          <w:color w:val="000000"/>
        </w:rPr>
        <w:t xml:space="preserve">Conformément au </w:t>
      </w:r>
      <w:r w:rsidRPr="00B6749A">
        <w:rPr>
          <w:rFonts w:cs="ACaslonPro-Regular"/>
          <w:color w:val="000000"/>
        </w:rPr>
        <w:t xml:space="preserve">protocole de partenariat </w:t>
      </w:r>
      <w:r>
        <w:rPr>
          <w:rFonts w:cs="ACaslonPro-Regular"/>
          <w:color w:val="000000"/>
        </w:rPr>
        <w:t xml:space="preserve">entre le PNUD et le FEM, </w:t>
      </w:r>
      <w:r w:rsidRPr="00B6749A">
        <w:rPr>
          <w:rFonts w:cs="ACaslonPro-Regular"/>
          <w:color w:val="000000"/>
        </w:rPr>
        <w:t xml:space="preserve">les évaluations </w:t>
      </w:r>
      <w:r w:rsidR="007243FA">
        <w:rPr>
          <w:rFonts w:cs="ACaslonPro-Regular"/>
          <w:color w:val="000000"/>
        </w:rPr>
        <w:t xml:space="preserve">finales </w:t>
      </w:r>
      <w:r w:rsidRPr="00B6749A">
        <w:rPr>
          <w:rFonts w:cs="ACaslonPro-Regular"/>
          <w:color w:val="000000"/>
        </w:rPr>
        <w:t>de</w:t>
      </w:r>
      <w:r w:rsidR="007243FA">
        <w:rPr>
          <w:rFonts w:cs="ACaslonPro-Regular"/>
          <w:color w:val="000000"/>
        </w:rPr>
        <w:t>s</w:t>
      </w:r>
      <w:r w:rsidRPr="00B6749A">
        <w:rPr>
          <w:rFonts w:cs="ACaslonPro-Regular"/>
          <w:color w:val="000000"/>
        </w:rPr>
        <w:t xml:space="preserve">projets </w:t>
      </w:r>
      <w:r>
        <w:rPr>
          <w:rFonts w:cs="ACaslonPro-Regular"/>
          <w:color w:val="000000"/>
        </w:rPr>
        <w:t>financés par le FEM et exécutés par le PNUD, sont obligatoires.</w:t>
      </w:r>
      <w:r w:rsidR="007243FA">
        <w:rPr>
          <w:rFonts w:cs="ACaslonPro-Regular"/>
          <w:color w:val="000000"/>
        </w:rPr>
        <w:t>L’évaluation finale est</w:t>
      </w:r>
      <w:r w:rsidR="007243FA" w:rsidRPr="00910BAC">
        <w:rPr>
          <w:rFonts w:cs="ACaslonPro-Regular"/>
          <w:color w:val="000000"/>
        </w:rPr>
        <w:t xml:space="preserve"> utile pour lagestion des résultats et sert à renforcer la responsabilisationdes chefs de projet, des B</w:t>
      </w:r>
      <w:r w:rsidR="007243FA">
        <w:rPr>
          <w:rFonts w:cs="ACaslonPro-Regular"/>
          <w:color w:val="000000"/>
        </w:rPr>
        <w:t xml:space="preserve">ureaux de </w:t>
      </w:r>
      <w:r w:rsidR="007243FA" w:rsidRPr="00910BAC">
        <w:rPr>
          <w:rFonts w:cs="ACaslonPro-Regular"/>
          <w:color w:val="000000"/>
        </w:rPr>
        <w:t>P</w:t>
      </w:r>
      <w:r w:rsidR="007243FA">
        <w:rPr>
          <w:rFonts w:cs="ACaslonPro-Regular"/>
          <w:color w:val="000000"/>
        </w:rPr>
        <w:t>ays du PNUD</w:t>
      </w:r>
      <w:r w:rsidR="007243FA" w:rsidRPr="00910BAC">
        <w:rPr>
          <w:rFonts w:cs="ACaslonPro-Regular"/>
          <w:color w:val="000000"/>
        </w:rPr>
        <w:t>, des C</w:t>
      </w:r>
      <w:r w:rsidR="007243FA">
        <w:rPr>
          <w:rFonts w:cs="ACaslonPro-Regular"/>
          <w:color w:val="000000"/>
        </w:rPr>
        <w:t>onseillers Techniques Principaux</w:t>
      </w:r>
      <w:r w:rsidR="007243FA" w:rsidRPr="00910BAC">
        <w:rPr>
          <w:rFonts w:cs="ACaslonPro-Regular"/>
          <w:color w:val="000000"/>
        </w:rPr>
        <w:t>, etc.</w:t>
      </w:r>
    </w:p>
    <w:p w:rsidR="00B6749A" w:rsidRDefault="00B6749A" w:rsidP="00B6749A">
      <w:pPr>
        <w:autoSpaceDE w:val="0"/>
        <w:autoSpaceDN w:val="0"/>
        <w:adjustRightInd w:val="0"/>
        <w:spacing w:after="0" w:line="240" w:lineRule="auto"/>
        <w:jc w:val="both"/>
        <w:rPr>
          <w:rFonts w:cs="ACaslonPro-Regular"/>
          <w:color w:val="000000"/>
        </w:rPr>
      </w:pPr>
    </w:p>
    <w:p w:rsidR="000D6878" w:rsidRDefault="00C041B6" w:rsidP="007243FA">
      <w:pPr>
        <w:autoSpaceDE w:val="0"/>
        <w:autoSpaceDN w:val="0"/>
        <w:adjustRightInd w:val="0"/>
        <w:spacing w:after="0" w:line="240" w:lineRule="auto"/>
        <w:jc w:val="both"/>
        <w:rPr>
          <w:rFonts w:cs="ACaslonPro-Regular"/>
          <w:color w:val="000000"/>
        </w:rPr>
      </w:pPr>
      <w:r>
        <w:rPr>
          <w:rFonts w:cs="ACaslonPro-Regular"/>
          <w:color w:val="000000"/>
        </w:rPr>
        <w:t>L’évaluation finale du projet CB2 permettra de déterminer jusqu’à quel degré les objectifs et les résultats attendus du projet ont été réalisés et d’identifier les principales leçons tirées qui peuvent améliorer la durabilité des acquis de ce projet et favoriser l’amélioration globale des programmes du PNUD</w:t>
      </w:r>
      <w:r w:rsidR="00910BAC">
        <w:rPr>
          <w:rFonts w:cs="ACaslonPro-Regular"/>
          <w:color w:val="000000"/>
        </w:rPr>
        <w:t>.</w:t>
      </w:r>
      <w:r>
        <w:rPr>
          <w:rFonts w:cs="ACaslonPro-Regular"/>
          <w:color w:val="000000"/>
        </w:rPr>
        <w:t xml:space="preserve"> L’évaluation finale </w:t>
      </w:r>
      <w:r w:rsidR="007243FA" w:rsidRPr="007243FA">
        <w:rPr>
          <w:rFonts w:cs="ACaslonPro-Regular"/>
          <w:color w:val="000000"/>
        </w:rPr>
        <w:t>fournitun compte rendu dela performance à la fin du cycle du projet, enprenant en compte non seulement la totalité desefforts, de l’éla</w:t>
      </w:r>
      <w:r w:rsidR="007243FA">
        <w:rPr>
          <w:rFonts w:cs="ACaslonPro-Regular"/>
          <w:color w:val="000000"/>
        </w:rPr>
        <w:t xml:space="preserve">boration du projet à sa mise en </w:t>
      </w:r>
      <w:r w:rsidR="007243FA" w:rsidRPr="007243FA">
        <w:rPr>
          <w:rFonts w:cs="ACaslonPro-Regular"/>
          <w:color w:val="000000"/>
        </w:rPr>
        <w:t xml:space="preserve">œuvre et à sa clôture, mais aussi la probabilité dedurabilité et les répercussions possibles.L’évaluation finale </w:t>
      </w:r>
      <w:r>
        <w:rPr>
          <w:rFonts w:cs="ACaslonPro-Regular"/>
          <w:color w:val="000000"/>
        </w:rPr>
        <w:t>devra conclure avec des recommandations pour des activités de suivi.</w:t>
      </w:r>
    </w:p>
    <w:p w:rsidR="00C84500" w:rsidRDefault="00C84500" w:rsidP="00C041B6">
      <w:pPr>
        <w:autoSpaceDE w:val="0"/>
        <w:autoSpaceDN w:val="0"/>
        <w:adjustRightInd w:val="0"/>
        <w:spacing w:after="0" w:line="240" w:lineRule="auto"/>
        <w:jc w:val="both"/>
        <w:rPr>
          <w:rFonts w:cs="ACaslonPro-Regular"/>
          <w:color w:val="000000"/>
        </w:rPr>
      </w:pPr>
    </w:p>
    <w:p w:rsidR="00B6749A" w:rsidRDefault="00910BAC" w:rsidP="00910BAC">
      <w:pPr>
        <w:autoSpaceDE w:val="0"/>
        <w:autoSpaceDN w:val="0"/>
        <w:adjustRightInd w:val="0"/>
        <w:spacing w:after="0" w:line="240" w:lineRule="auto"/>
        <w:jc w:val="both"/>
        <w:rPr>
          <w:rFonts w:cs="ACaslonPro-Regular"/>
          <w:color w:val="000000"/>
        </w:rPr>
      </w:pPr>
      <w:r>
        <w:rPr>
          <w:rFonts w:cs="ACaslonPro-Regular"/>
          <w:color w:val="000000"/>
        </w:rPr>
        <w:t>L’</w:t>
      </w:r>
      <w:r w:rsidRPr="00910BAC">
        <w:rPr>
          <w:rFonts w:cs="ACaslonPro-Regular"/>
          <w:color w:val="000000"/>
        </w:rPr>
        <w:t xml:space="preserve">évaluation </w:t>
      </w:r>
      <w:r>
        <w:rPr>
          <w:rFonts w:cs="ACaslonPro-Regular"/>
          <w:color w:val="000000"/>
        </w:rPr>
        <w:t>finale a</w:t>
      </w:r>
      <w:r w:rsidRPr="00910BAC">
        <w:rPr>
          <w:rFonts w:cs="ACaslonPro-Regular"/>
          <w:color w:val="000000"/>
        </w:rPr>
        <w:t xml:space="preserve"> pour objet de déterminerl’efficience et l’efficacité </w:t>
      </w:r>
      <w:r>
        <w:rPr>
          <w:rFonts w:cs="ACaslonPro-Regular"/>
          <w:color w:val="000000"/>
        </w:rPr>
        <w:t>du projet CB2</w:t>
      </w:r>
      <w:r w:rsidRPr="00910BAC">
        <w:rPr>
          <w:rFonts w:cs="ACaslonPro-Regular"/>
          <w:color w:val="000000"/>
        </w:rPr>
        <w:t xml:space="preserve"> par rapport à laréalisation de ses résultats escomptés. Elle permetégalement de déterminer la pertinence et la viabilitédes </w:t>
      </w:r>
      <w:r>
        <w:rPr>
          <w:rFonts w:cs="ACaslonPro-Regular"/>
          <w:color w:val="000000"/>
        </w:rPr>
        <w:t>résultats</w:t>
      </w:r>
      <w:r w:rsidRPr="00910BAC">
        <w:rPr>
          <w:rFonts w:cs="ACaslonPro-Regular"/>
          <w:color w:val="000000"/>
        </w:rPr>
        <w:t xml:space="preserve"> en tant que contributions aux réalisationsà moyen et long terme. </w:t>
      </w:r>
    </w:p>
    <w:p w:rsidR="00910BAC" w:rsidRPr="00910BAC" w:rsidRDefault="00910BAC" w:rsidP="00910BAC">
      <w:pPr>
        <w:autoSpaceDE w:val="0"/>
        <w:autoSpaceDN w:val="0"/>
        <w:adjustRightInd w:val="0"/>
        <w:spacing w:after="0" w:line="240" w:lineRule="auto"/>
        <w:jc w:val="both"/>
        <w:rPr>
          <w:rFonts w:cs="ACaslonPro-Regular"/>
          <w:color w:val="000000"/>
        </w:rPr>
      </w:pPr>
    </w:p>
    <w:p w:rsidR="00B6749A" w:rsidRDefault="00B6749A" w:rsidP="005A1EF8">
      <w:pPr>
        <w:autoSpaceDE w:val="0"/>
        <w:autoSpaceDN w:val="0"/>
        <w:adjustRightInd w:val="0"/>
        <w:spacing w:after="0" w:line="240" w:lineRule="auto"/>
        <w:jc w:val="both"/>
        <w:rPr>
          <w:rFonts w:cs="ACaslonPro-Regular"/>
          <w:color w:val="000000"/>
        </w:rPr>
      </w:pPr>
    </w:p>
    <w:p w:rsidR="00AD1A5C" w:rsidRPr="00B75CED" w:rsidRDefault="00B75CED" w:rsidP="00B75CED">
      <w:pPr>
        <w:pStyle w:val="Titre2"/>
        <w:spacing w:before="0"/>
        <w:rPr>
          <w:rFonts w:asciiTheme="minorHAnsi" w:hAnsiTheme="minorHAnsi" w:cs="ACaslonPro-Regular"/>
          <w:color w:val="000000"/>
          <w:sz w:val="22"/>
          <w:szCs w:val="22"/>
        </w:rPr>
      </w:pPr>
      <w:bookmarkStart w:id="26" w:name="_Toc425414561"/>
      <w:r>
        <w:rPr>
          <w:rFonts w:asciiTheme="minorHAnsi" w:hAnsiTheme="minorHAnsi" w:cs="ACaslonPro-Regular"/>
          <w:color w:val="000000"/>
          <w:sz w:val="22"/>
          <w:szCs w:val="22"/>
        </w:rPr>
        <w:t xml:space="preserve">I.2 </w:t>
      </w:r>
      <w:r w:rsidR="00AD1A5C" w:rsidRPr="00B75CED">
        <w:rPr>
          <w:rFonts w:asciiTheme="minorHAnsi" w:hAnsiTheme="minorHAnsi" w:cs="ACaslonPro-Regular"/>
          <w:color w:val="000000"/>
          <w:sz w:val="22"/>
          <w:szCs w:val="22"/>
        </w:rPr>
        <w:t>Champ d’application et méthodologie</w:t>
      </w:r>
      <w:bookmarkEnd w:id="26"/>
    </w:p>
    <w:p w:rsidR="00917FD1" w:rsidRPr="00B75CED" w:rsidRDefault="00917FD1" w:rsidP="00B75CED">
      <w:pPr>
        <w:pStyle w:val="Titre3"/>
        <w:spacing w:before="0"/>
        <w:rPr>
          <w:rFonts w:ascii="Calibri" w:hAnsi="Calibri" w:cs="Calibri"/>
          <w:color w:val="auto"/>
        </w:rPr>
      </w:pPr>
      <w:r w:rsidRPr="00B75CED">
        <w:rPr>
          <w:rFonts w:ascii="Calibri" w:hAnsi="Calibri" w:cs="Calibri"/>
          <w:color w:val="auto"/>
        </w:rPr>
        <w:tab/>
      </w:r>
      <w:bookmarkStart w:id="27" w:name="_Toc425414562"/>
      <w:r w:rsidR="00B75CED">
        <w:rPr>
          <w:rFonts w:ascii="Calibri" w:hAnsi="Calibri" w:cs="Calibri"/>
          <w:color w:val="auto"/>
        </w:rPr>
        <w:t>I.2.1</w:t>
      </w:r>
      <w:r w:rsidRPr="00B75CED">
        <w:rPr>
          <w:rFonts w:ascii="Calibri" w:hAnsi="Calibri" w:cs="Calibri"/>
          <w:color w:val="auto"/>
        </w:rPr>
        <w:t>Champs d’application</w:t>
      </w:r>
      <w:bookmarkEnd w:id="27"/>
    </w:p>
    <w:p w:rsidR="00917FD1" w:rsidRDefault="00B6749A" w:rsidP="007243FA">
      <w:pPr>
        <w:autoSpaceDE w:val="0"/>
        <w:autoSpaceDN w:val="0"/>
        <w:adjustRightInd w:val="0"/>
        <w:spacing w:after="0" w:line="240" w:lineRule="auto"/>
        <w:jc w:val="both"/>
        <w:rPr>
          <w:rFonts w:ascii="Calibri" w:hAnsi="Calibri" w:cs="Calibri"/>
        </w:rPr>
      </w:pPr>
      <w:r>
        <w:rPr>
          <w:rFonts w:ascii="Calibri" w:hAnsi="Calibri" w:cs="Calibri"/>
        </w:rPr>
        <w:t xml:space="preserve">Conformément aux </w:t>
      </w:r>
      <w:r w:rsidRPr="00B6749A">
        <w:rPr>
          <w:rFonts w:ascii="Calibri" w:hAnsi="Calibri" w:cs="Calibri"/>
        </w:rPr>
        <w:t>Directivesopérationnelles destinées aux agents du FEMpour la réalisation des évaluations finales</w:t>
      </w:r>
      <w:r>
        <w:rPr>
          <w:rFonts w:ascii="Calibri" w:hAnsi="Calibri" w:cs="Calibri"/>
        </w:rPr>
        <w:t>, l</w:t>
      </w:r>
      <w:r w:rsidR="00917FD1" w:rsidRPr="00917FD1">
        <w:rPr>
          <w:rFonts w:ascii="Calibri" w:hAnsi="Calibri" w:cs="Calibri"/>
        </w:rPr>
        <w:t>’évaluation finale du Pro</w:t>
      </w:r>
      <w:r w:rsidR="00917FD1">
        <w:rPr>
          <w:rFonts w:ascii="Calibri" w:hAnsi="Calibri" w:cs="Calibri"/>
        </w:rPr>
        <w:t>jet CB2</w:t>
      </w:r>
      <w:r>
        <w:rPr>
          <w:rFonts w:ascii="Calibri" w:hAnsi="Calibri" w:cs="Calibri"/>
        </w:rPr>
        <w:t xml:space="preserve"> a lieu 5 mois avant la date de la clôture du projet (Se</w:t>
      </w:r>
      <w:r w:rsidR="007243FA">
        <w:rPr>
          <w:rFonts w:ascii="Calibri" w:hAnsi="Calibri" w:cs="Calibri"/>
        </w:rPr>
        <w:t xml:space="preserve">ptembre 2015) et elle tient compte </w:t>
      </w:r>
      <w:r w:rsidR="007243FA" w:rsidRPr="007243FA">
        <w:rPr>
          <w:rFonts w:ascii="Calibri" w:hAnsi="Calibri" w:cs="Calibri"/>
        </w:rPr>
        <w:t xml:space="preserve">des opinions de toutes les partiesprenantes.L’évaluation finale </w:t>
      </w:r>
      <w:r w:rsidR="007243FA">
        <w:rPr>
          <w:rFonts w:ascii="Calibri" w:hAnsi="Calibri" w:cs="Calibri"/>
        </w:rPr>
        <w:t xml:space="preserve">du projet CB2 </w:t>
      </w:r>
      <w:r w:rsidR="00917FD1" w:rsidRPr="00917FD1">
        <w:rPr>
          <w:rFonts w:ascii="Calibri" w:hAnsi="Calibri" w:cs="Calibri"/>
        </w:rPr>
        <w:t>c</w:t>
      </w:r>
      <w:r w:rsidR="004B167C">
        <w:rPr>
          <w:rFonts w:ascii="Calibri" w:hAnsi="Calibri" w:cs="Calibri"/>
        </w:rPr>
        <w:t>oncerne sa mise en œuvre et ses</w:t>
      </w:r>
      <w:r w:rsidR="00917FD1" w:rsidRPr="00917FD1">
        <w:rPr>
          <w:rFonts w:ascii="Calibri" w:hAnsi="Calibri" w:cs="Calibri"/>
        </w:rPr>
        <w:t xml:space="preserve"> réalis</w:t>
      </w:r>
      <w:r w:rsidR="004B167C">
        <w:rPr>
          <w:rFonts w:ascii="Calibri" w:hAnsi="Calibri" w:cs="Calibri"/>
        </w:rPr>
        <w:t>ations de</w:t>
      </w:r>
      <w:r w:rsidR="00917FD1">
        <w:rPr>
          <w:rFonts w:ascii="Calibri" w:hAnsi="Calibri" w:cs="Calibri"/>
        </w:rPr>
        <w:t>juillet 2012 (date de l’atelier de démarrage)</w:t>
      </w:r>
      <w:r w:rsidR="00917FD1" w:rsidRPr="00917FD1">
        <w:rPr>
          <w:rFonts w:ascii="Calibri" w:hAnsi="Calibri" w:cs="Calibri"/>
        </w:rPr>
        <w:t xml:space="preserve"> à </w:t>
      </w:r>
      <w:r w:rsidR="00917FD1">
        <w:rPr>
          <w:rFonts w:ascii="Calibri" w:hAnsi="Calibri" w:cs="Calibri"/>
        </w:rPr>
        <w:t>fin avril 2015</w:t>
      </w:r>
      <w:r w:rsidR="000D56EB">
        <w:rPr>
          <w:rFonts w:ascii="Calibri" w:hAnsi="Calibri" w:cs="Calibri"/>
        </w:rPr>
        <w:t>,</w:t>
      </w:r>
      <w:r w:rsidR="00917FD1">
        <w:rPr>
          <w:rFonts w:ascii="Calibri" w:hAnsi="Calibri" w:cs="Calibri"/>
        </w:rPr>
        <w:t xml:space="preserve"> date de démarrage de la présente évaluation</w:t>
      </w:r>
      <w:r w:rsidR="00917FD1" w:rsidRPr="00917FD1">
        <w:rPr>
          <w:rFonts w:ascii="Calibri" w:hAnsi="Calibri" w:cs="Calibri"/>
        </w:rPr>
        <w:t>.</w:t>
      </w:r>
    </w:p>
    <w:p w:rsidR="000560B8" w:rsidRPr="000560B8" w:rsidRDefault="000560B8" w:rsidP="000560B8">
      <w:pPr>
        <w:spacing w:after="0"/>
        <w:jc w:val="both"/>
        <w:rPr>
          <w:rFonts w:ascii="Calibri" w:hAnsi="Calibri" w:cs="Calibri"/>
        </w:rPr>
      </w:pPr>
      <w:r w:rsidRPr="000560B8">
        <w:rPr>
          <w:rFonts w:ascii="Calibri" w:hAnsi="Calibri" w:cs="Calibri"/>
        </w:rPr>
        <w:t>L’évaluation finale sera menée conformément aux directives, règles et procédures établies par le PNUD et le FEM comme l’indiquent les directives d’évaluation du PNUD pour les projets financés par le FEM.</w:t>
      </w:r>
    </w:p>
    <w:p w:rsidR="00917FD1" w:rsidRDefault="00917FD1" w:rsidP="00AD1A5C">
      <w:pPr>
        <w:autoSpaceDE w:val="0"/>
        <w:autoSpaceDN w:val="0"/>
        <w:adjustRightInd w:val="0"/>
        <w:spacing w:after="0" w:line="240" w:lineRule="auto"/>
        <w:rPr>
          <w:rFonts w:ascii="Calibri" w:hAnsi="Calibri" w:cs="Calibri"/>
        </w:rPr>
      </w:pPr>
    </w:p>
    <w:p w:rsidR="00917FD1" w:rsidRPr="00B75CED" w:rsidRDefault="00917FD1" w:rsidP="00AD1A5C">
      <w:pPr>
        <w:autoSpaceDE w:val="0"/>
        <w:autoSpaceDN w:val="0"/>
        <w:adjustRightInd w:val="0"/>
        <w:spacing w:after="0" w:line="240" w:lineRule="auto"/>
        <w:rPr>
          <w:rFonts w:ascii="Calibri" w:hAnsi="Calibri" w:cs="Calibri"/>
          <w:b/>
        </w:rPr>
      </w:pPr>
      <w:r w:rsidRPr="00B75CED">
        <w:rPr>
          <w:rFonts w:ascii="Calibri" w:hAnsi="Calibri" w:cs="Calibri"/>
          <w:b/>
        </w:rPr>
        <w:tab/>
      </w:r>
      <w:r w:rsidR="00B75CED" w:rsidRPr="00B75CED">
        <w:rPr>
          <w:rFonts w:ascii="Calibri" w:hAnsi="Calibri" w:cs="Calibri"/>
          <w:b/>
        </w:rPr>
        <w:t xml:space="preserve">I.2.2 </w:t>
      </w:r>
      <w:r w:rsidRPr="00B75CED">
        <w:rPr>
          <w:rFonts w:ascii="Calibri" w:hAnsi="Calibri" w:cs="Calibri"/>
          <w:b/>
        </w:rPr>
        <w:t>Méthodologie</w:t>
      </w:r>
    </w:p>
    <w:p w:rsidR="00917FD1" w:rsidRDefault="00917FD1" w:rsidP="00917FD1">
      <w:pPr>
        <w:autoSpaceDE w:val="0"/>
        <w:autoSpaceDN w:val="0"/>
        <w:adjustRightInd w:val="0"/>
        <w:spacing w:after="0" w:line="240" w:lineRule="auto"/>
        <w:jc w:val="both"/>
        <w:rPr>
          <w:rFonts w:ascii="Calibri" w:hAnsi="Calibri" w:cs="Calibri"/>
        </w:rPr>
      </w:pPr>
      <w:r w:rsidRPr="00917FD1">
        <w:rPr>
          <w:rFonts w:ascii="Calibri" w:hAnsi="Calibri" w:cs="Calibri"/>
        </w:rPr>
        <w:t xml:space="preserve">L’évaluation finale du Projet </w:t>
      </w:r>
      <w:r>
        <w:rPr>
          <w:rFonts w:ascii="Calibri" w:hAnsi="Calibri" w:cs="Calibri"/>
        </w:rPr>
        <w:t xml:space="preserve">CB2 s’est </w:t>
      </w:r>
      <w:r w:rsidR="004B167C">
        <w:rPr>
          <w:rFonts w:ascii="Calibri" w:hAnsi="Calibri" w:cs="Calibri"/>
        </w:rPr>
        <w:t>déroulée</w:t>
      </w:r>
      <w:r>
        <w:rPr>
          <w:rFonts w:ascii="Calibri" w:hAnsi="Calibri" w:cs="Calibri"/>
        </w:rPr>
        <w:t xml:space="preserve"> du 13 avril au 24 mai 2015</w:t>
      </w:r>
      <w:r w:rsidRPr="00917FD1">
        <w:rPr>
          <w:rFonts w:ascii="Calibri" w:hAnsi="Calibri" w:cs="Calibri"/>
        </w:rPr>
        <w:t>. La méthodologie utilisée pour cette évaluation est déclinée à trave</w:t>
      </w:r>
      <w:r>
        <w:rPr>
          <w:rFonts w:ascii="Calibri" w:hAnsi="Calibri" w:cs="Calibri"/>
        </w:rPr>
        <w:t>rs les étapes décrites dans la figure ci-dessous</w:t>
      </w:r>
      <w:r w:rsidRPr="00917FD1">
        <w:rPr>
          <w:rFonts w:ascii="Calibri" w:hAnsi="Calibri" w:cs="Calibri"/>
        </w:rPr>
        <w:t>.</w:t>
      </w:r>
    </w:p>
    <w:p w:rsidR="00CE4C6D" w:rsidRDefault="00CE4C6D" w:rsidP="00CE4C6D">
      <w:pPr>
        <w:autoSpaceDE w:val="0"/>
        <w:autoSpaceDN w:val="0"/>
        <w:adjustRightInd w:val="0"/>
        <w:spacing w:after="0" w:line="240" w:lineRule="auto"/>
        <w:jc w:val="both"/>
        <w:rPr>
          <w:rFonts w:ascii="Calibri" w:hAnsi="Calibri" w:cs="Calibri"/>
        </w:rPr>
      </w:pPr>
      <w:r w:rsidRPr="00CE4C6D">
        <w:rPr>
          <w:rFonts w:ascii="Calibri" w:hAnsi="Calibri" w:cs="Calibri"/>
        </w:rPr>
        <w:t xml:space="preserve">Un rapport initial </w:t>
      </w:r>
      <w:r>
        <w:rPr>
          <w:rFonts w:ascii="Calibri" w:hAnsi="Calibri" w:cs="Calibri"/>
        </w:rPr>
        <w:t>a été</w:t>
      </w:r>
      <w:r w:rsidRPr="00CE4C6D">
        <w:rPr>
          <w:rFonts w:ascii="Calibri" w:hAnsi="Calibri" w:cs="Calibri"/>
        </w:rPr>
        <w:t xml:space="preserve"> préparé par l’évaluat</w:t>
      </w:r>
      <w:r>
        <w:rPr>
          <w:rFonts w:ascii="Calibri" w:hAnsi="Calibri" w:cs="Calibri"/>
        </w:rPr>
        <w:t>eur</w:t>
      </w:r>
      <w:r w:rsidRPr="00CE4C6D">
        <w:rPr>
          <w:rFonts w:ascii="Calibri" w:hAnsi="Calibri" w:cs="Calibri"/>
        </w:rPr>
        <w:t xml:space="preserve"> avant la mission d’évaluationprincipale. Il </w:t>
      </w:r>
      <w:r>
        <w:rPr>
          <w:rFonts w:ascii="Calibri" w:hAnsi="Calibri" w:cs="Calibri"/>
        </w:rPr>
        <w:t>détaille</w:t>
      </w:r>
      <w:r w:rsidRPr="00CE4C6D">
        <w:rPr>
          <w:rFonts w:ascii="Calibri" w:hAnsi="Calibri" w:cs="Calibri"/>
        </w:rPr>
        <w:t xml:space="preserve"> la compréhension duprojet évalué et </w:t>
      </w:r>
      <w:r>
        <w:rPr>
          <w:rFonts w:ascii="Calibri" w:hAnsi="Calibri" w:cs="Calibri"/>
        </w:rPr>
        <w:t>indique</w:t>
      </w:r>
      <w:r w:rsidRPr="00CE4C6D">
        <w:rPr>
          <w:rFonts w:ascii="Calibri" w:hAnsi="Calibri" w:cs="Calibri"/>
        </w:rPr>
        <w:t xml:space="preserve"> commentchaque question de l’évaluation obtiendra uneréponse à l’aide des : méthodes proposées, sourcesde données prop</w:t>
      </w:r>
      <w:r>
        <w:rPr>
          <w:rFonts w:ascii="Calibri" w:hAnsi="Calibri" w:cs="Calibri"/>
        </w:rPr>
        <w:t xml:space="preserve">osées et procédures de collecte </w:t>
      </w:r>
      <w:r w:rsidRPr="00CE4C6D">
        <w:rPr>
          <w:rFonts w:ascii="Calibri" w:hAnsi="Calibri" w:cs="Calibri"/>
        </w:rPr>
        <w:t xml:space="preserve">des données. Le rapport initial </w:t>
      </w:r>
      <w:r>
        <w:rPr>
          <w:rFonts w:ascii="Calibri" w:hAnsi="Calibri" w:cs="Calibri"/>
        </w:rPr>
        <w:t>inclut</w:t>
      </w:r>
      <w:r w:rsidRPr="00CE4C6D">
        <w:rPr>
          <w:rFonts w:ascii="Calibri" w:hAnsi="Calibri" w:cs="Calibri"/>
        </w:rPr>
        <w:t xml:space="preserve"> unprogramme détaillé des tâches, activités et éléments</w:t>
      </w:r>
      <w:r>
        <w:rPr>
          <w:rFonts w:ascii="Calibri" w:hAnsi="Calibri" w:cs="Calibri"/>
        </w:rPr>
        <w:t xml:space="preserve"> livrables.</w:t>
      </w:r>
    </w:p>
    <w:p w:rsidR="00C84500" w:rsidRDefault="00C84500" w:rsidP="00AD1A5C">
      <w:pPr>
        <w:autoSpaceDE w:val="0"/>
        <w:autoSpaceDN w:val="0"/>
        <w:adjustRightInd w:val="0"/>
        <w:spacing w:after="0" w:line="240" w:lineRule="auto"/>
        <w:rPr>
          <w:rFonts w:ascii="Calibri" w:hAnsi="Calibri" w:cs="Calibri"/>
        </w:rPr>
      </w:pPr>
    </w:p>
    <w:p w:rsidR="00C84500" w:rsidRDefault="00C84500" w:rsidP="00AD1A5C">
      <w:pPr>
        <w:autoSpaceDE w:val="0"/>
        <w:autoSpaceDN w:val="0"/>
        <w:adjustRightInd w:val="0"/>
        <w:spacing w:after="0" w:line="240" w:lineRule="auto"/>
        <w:rPr>
          <w:rFonts w:ascii="Calibri" w:hAnsi="Calibri" w:cs="Calibri"/>
        </w:rPr>
      </w:pPr>
    </w:p>
    <w:p w:rsidR="00C84500" w:rsidRDefault="00C84500" w:rsidP="00AD1A5C">
      <w:pPr>
        <w:autoSpaceDE w:val="0"/>
        <w:autoSpaceDN w:val="0"/>
        <w:adjustRightInd w:val="0"/>
        <w:spacing w:after="0" w:line="240" w:lineRule="auto"/>
        <w:rPr>
          <w:rFonts w:ascii="Calibri" w:hAnsi="Calibri" w:cs="Calibri"/>
        </w:rPr>
      </w:pPr>
    </w:p>
    <w:p w:rsidR="00C84500" w:rsidRDefault="00C84500" w:rsidP="00AD1A5C">
      <w:pPr>
        <w:autoSpaceDE w:val="0"/>
        <w:autoSpaceDN w:val="0"/>
        <w:adjustRightInd w:val="0"/>
        <w:spacing w:after="0" w:line="240" w:lineRule="auto"/>
        <w:rPr>
          <w:rFonts w:ascii="Calibri" w:hAnsi="Calibri" w:cs="Calibri"/>
        </w:rPr>
      </w:pPr>
    </w:p>
    <w:p w:rsidR="00C84500" w:rsidRDefault="00C84500" w:rsidP="00AD1A5C">
      <w:pPr>
        <w:autoSpaceDE w:val="0"/>
        <w:autoSpaceDN w:val="0"/>
        <w:adjustRightInd w:val="0"/>
        <w:spacing w:after="0" w:line="240" w:lineRule="auto"/>
        <w:rPr>
          <w:rFonts w:ascii="Calibri" w:hAnsi="Calibri" w:cs="Calibri"/>
        </w:rPr>
      </w:pPr>
    </w:p>
    <w:p w:rsidR="00C84500" w:rsidRDefault="00C84500" w:rsidP="00AD1A5C">
      <w:pPr>
        <w:autoSpaceDE w:val="0"/>
        <w:autoSpaceDN w:val="0"/>
        <w:adjustRightInd w:val="0"/>
        <w:spacing w:after="0" w:line="240" w:lineRule="auto"/>
        <w:rPr>
          <w:rFonts w:ascii="Calibri" w:hAnsi="Calibri" w:cs="Calibri"/>
        </w:rPr>
      </w:pPr>
    </w:p>
    <w:p w:rsidR="00C84500" w:rsidRDefault="00C84500" w:rsidP="00AD1A5C">
      <w:pPr>
        <w:autoSpaceDE w:val="0"/>
        <w:autoSpaceDN w:val="0"/>
        <w:adjustRightInd w:val="0"/>
        <w:spacing w:after="0" w:line="240" w:lineRule="auto"/>
        <w:rPr>
          <w:rFonts w:ascii="Calibri" w:hAnsi="Calibri" w:cs="Calibri"/>
        </w:rPr>
      </w:pPr>
    </w:p>
    <w:p w:rsidR="00C84500" w:rsidRDefault="00C84500" w:rsidP="00AD1A5C">
      <w:pPr>
        <w:autoSpaceDE w:val="0"/>
        <w:autoSpaceDN w:val="0"/>
        <w:adjustRightInd w:val="0"/>
        <w:spacing w:after="0" w:line="240" w:lineRule="auto"/>
        <w:rPr>
          <w:rFonts w:ascii="Calibri" w:hAnsi="Calibri" w:cs="Calibri"/>
        </w:rPr>
      </w:pPr>
    </w:p>
    <w:p w:rsidR="00C84500" w:rsidRDefault="00C84500" w:rsidP="00AD1A5C">
      <w:pPr>
        <w:autoSpaceDE w:val="0"/>
        <w:autoSpaceDN w:val="0"/>
        <w:adjustRightInd w:val="0"/>
        <w:spacing w:after="0" w:line="240" w:lineRule="auto"/>
        <w:rPr>
          <w:rFonts w:ascii="Calibri" w:hAnsi="Calibri" w:cs="Calibri"/>
        </w:rPr>
      </w:pPr>
    </w:p>
    <w:p w:rsidR="00C84500" w:rsidRDefault="00C84500" w:rsidP="00AD1A5C">
      <w:pPr>
        <w:autoSpaceDE w:val="0"/>
        <w:autoSpaceDN w:val="0"/>
        <w:adjustRightInd w:val="0"/>
        <w:spacing w:after="0" w:line="240" w:lineRule="auto"/>
        <w:rPr>
          <w:rFonts w:ascii="Calibri" w:hAnsi="Calibri" w:cs="Calibri"/>
        </w:rPr>
      </w:pPr>
    </w:p>
    <w:p w:rsidR="00C84500" w:rsidRDefault="00C84500" w:rsidP="00AD1A5C">
      <w:pPr>
        <w:autoSpaceDE w:val="0"/>
        <w:autoSpaceDN w:val="0"/>
        <w:adjustRightInd w:val="0"/>
        <w:spacing w:after="0" w:line="240" w:lineRule="auto"/>
        <w:rPr>
          <w:rFonts w:ascii="Calibri" w:hAnsi="Calibri" w:cs="Calibri"/>
        </w:rPr>
      </w:pPr>
    </w:p>
    <w:p w:rsidR="00C84500" w:rsidRDefault="00C84500" w:rsidP="00AD1A5C">
      <w:pPr>
        <w:autoSpaceDE w:val="0"/>
        <w:autoSpaceDN w:val="0"/>
        <w:adjustRightInd w:val="0"/>
        <w:spacing w:after="0" w:line="240" w:lineRule="auto"/>
        <w:rPr>
          <w:rFonts w:ascii="Calibri" w:hAnsi="Calibri" w:cs="Calibri"/>
        </w:rPr>
      </w:pPr>
    </w:p>
    <w:p w:rsidR="00C84500" w:rsidRPr="00917FD1" w:rsidRDefault="00C84500" w:rsidP="00AD1A5C">
      <w:pPr>
        <w:autoSpaceDE w:val="0"/>
        <w:autoSpaceDN w:val="0"/>
        <w:adjustRightInd w:val="0"/>
        <w:spacing w:after="0" w:line="240" w:lineRule="auto"/>
        <w:rPr>
          <w:rFonts w:ascii="Calibri" w:hAnsi="Calibri" w:cs="Calibri"/>
        </w:rPr>
      </w:pPr>
    </w:p>
    <w:p w:rsidR="00917FD1" w:rsidRPr="00B75CED" w:rsidRDefault="00917FD1" w:rsidP="006C1A5B">
      <w:pPr>
        <w:autoSpaceDE w:val="0"/>
        <w:autoSpaceDN w:val="0"/>
        <w:adjustRightInd w:val="0"/>
        <w:spacing w:after="0" w:line="240" w:lineRule="auto"/>
        <w:ind w:firstLine="708"/>
        <w:rPr>
          <w:rFonts w:ascii="Calibri" w:hAnsi="Calibri" w:cs="Calibri"/>
          <w:b/>
        </w:rPr>
      </w:pPr>
      <w:r w:rsidRPr="00B75CED">
        <w:rPr>
          <w:rFonts w:ascii="Calibri" w:hAnsi="Calibri" w:cs="Calibri"/>
          <w:b/>
        </w:rPr>
        <w:t>Contexte</w:t>
      </w:r>
      <w:r w:rsidR="006C1A5B" w:rsidRPr="00B75CED">
        <w:rPr>
          <w:rFonts w:ascii="Calibri" w:hAnsi="Calibri" w:cs="Calibri"/>
          <w:b/>
        </w:rPr>
        <w:tab/>
      </w:r>
      <w:r w:rsidR="006C1A5B" w:rsidRPr="00B75CED">
        <w:rPr>
          <w:rFonts w:ascii="Calibri" w:hAnsi="Calibri" w:cs="Calibri"/>
          <w:b/>
        </w:rPr>
        <w:tab/>
      </w:r>
      <w:r w:rsidR="006C1A5B" w:rsidRPr="00B75CED">
        <w:rPr>
          <w:rFonts w:ascii="Calibri" w:hAnsi="Calibri" w:cs="Calibri"/>
          <w:b/>
        </w:rPr>
        <w:tab/>
      </w:r>
      <w:r w:rsidR="009A6AD0" w:rsidRPr="00B75CED">
        <w:rPr>
          <w:rFonts w:ascii="Calibri" w:hAnsi="Calibri" w:cs="Calibri"/>
          <w:b/>
        </w:rPr>
        <w:t>Collecte et analyse</w:t>
      </w:r>
      <w:r w:rsidR="00B70757" w:rsidRPr="00B75CED">
        <w:rPr>
          <w:rFonts w:ascii="Calibri" w:hAnsi="Calibri" w:cs="Calibri"/>
          <w:b/>
        </w:rPr>
        <w:tab/>
      </w:r>
      <w:r w:rsidR="00B70757" w:rsidRPr="00B75CED">
        <w:rPr>
          <w:rFonts w:ascii="Calibri" w:hAnsi="Calibri" w:cs="Calibri"/>
          <w:b/>
        </w:rPr>
        <w:tab/>
      </w:r>
      <w:r w:rsidR="006C1A5B" w:rsidRPr="00B75CED">
        <w:rPr>
          <w:rFonts w:ascii="Calibri" w:hAnsi="Calibri" w:cs="Calibri"/>
          <w:b/>
        </w:rPr>
        <w:tab/>
      </w:r>
      <w:r w:rsidR="00B70757" w:rsidRPr="00B75CED">
        <w:rPr>
          <w:rFonts w:ascii="Calibri" w:hAnsi="Calibri" w:cs="Calibri"/>
          <w:b/>
        </w:rPr>
        <w:t>Évaluation</w:t>
      </w:r>
    </w:p>
    <w:p w:rsidR="00917FD1" w:rsidRPr="00917FD1" w:rsidRDefault="006D55EB" w:rsidP="00AD1A5C">
      <w:pPr>
        <w:autoSpaceDE w:val="0"/>
        <w:autoSpaceDN w:val="0"/>
        <w:adjustRightInd w:val="0"/>
        <w:spacing w:after="0" w:line="240" w:lineRule="auto"/>
        <w:rPr>
          <w:rFonts w:ascii="Calibri" w:hAnsi="Calibri" w:cs="Calibri"/>
        </w:rPr>
      </w:pPr>
      <w:r>
        <w:rPr>
          <w:rFonts w:ascii="Calibri" w:hAnsi="Calibri" w:cs="Calibri"/>
          <w:noProof/>
          <w:lang w:eastAsia="fr-FR"/>
        </w:rPr>
        <w:pict>
          <v:shapetype id="_x0000_t202" coordsize="21600,21600" o:spt="202" path="m,l,21600r21600,l21600,xe">
            <v:stroke joinstyle="miter"/>
            <v:path gradientshapeok="t" o:connecttype="rect"/>
          </v:shapetype>
          <v:shape id="Text Box 2" o:spid="_x0000_s1026" type="#_x0000_t202" style="position:absolute;margin-left:327.05pt;margin-top:6.2pt;width:126.7pt;height:74.4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">
            <v:textbox>
              <w:txbxContent>
                <w:p w:rsidR="00AF3FEE" w:rsidRPr="00B70757" w:rsidRDefault="00AF3FEE" w:rsidP="006C1A5B">
                  <w:pPr>
                    <w:jc w:val="both"/>
                    <w:rPr>
                      <w:sz w:val="16"/>
                      <w:szCs w:val="16"/>
                    </w:rPr>
                  </w:pPr>
                  <w:r>
                    <w:rPr>
                      <w:sz w:val="16"/>
                      <w:szCs w:val="16"/>
                    </w:rPr>
                    <w:t xml:space="preserve">Cadre institutionnel développé pour l’intégration de l’environnement mondial dans l’INDH et la planification stratégique locale et le suivi </w:t>
                  </w:r>
                </w:p>
              </w:txbxContent>
            </v:textbox>
          </v:shape>
        </w:pict>
      </w:r>
      <w:r>
        <w:rPr>
          <w:rFonts w:ascii="Calibri" w:hAnsi="Calibri" w:cs="Calibri"/>
          <w:noProof/>
          <w:lang w:eastAsia="fr-FR"/>
        </w:rPr>
        <w:pict>
          <v:shape id="_x0000_s1027" type="#_x0000_t202" style="position:absolute;margin-left:180.2pt;margin-top:6.65pt;width:126.7pt;height:17.3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lwCJQIAAEs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">
            <v:textbox>
              <w:txbxContent>
                <w:p w:rsidR="00AF3FEE" w:rsidRPr="00B70757" w:rsidRDefault="00AF3FEE" w:rsidP="009A6AD0">
                  <w:pPr>
                    <w:jc w:val="center"/>
                    <w:rPr>
                      <w:sz w:val="16"/>
                      <w:szCs w:val="16"/>
                    </w:rPr>
                  </w:pPr>
                  <w:r>
                    <w:rPr>
                      <w:sz w:val="16"/>
                      <w:szCs w:val="16"/>
                    </w:rPr>
                    <w:t>Réunion</w:t>
                  </w:r>
                  <w:r w:rsidRPr="00B70757">
                    <w:rPr>
                      <w:sz w:val="16"/>
                      <w:szCs w:val="16"/>
                    </w:rPr>
                    <w:t xml:space="preserve"> de briefing</w:t>
                  </w:r>
                </w:p>
              </w:txbxContent>
            </v:textbox>
          </v:shape>
        </w:pict>
      </w:r>
      <w:r>
        <w:rPr>
          <w:rFonts w:ascii="Calibri" w:hAnsi="Calibri" w:cs="Calibri"/>
          <w:noProof/>
          <w:lang w:eastAsia="fr-FR"/>
        </w:rPr>
        <w:pict>
          <v:shape id="_x0000_s1028" type="#_x0000_t202" style="position:absolute;margin-left:.65pt;margin-top:6.65pt;width:156pt;height:28.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">
            <v:textbox>
              <w:txbxContent>
                <w:p w:rsidR="00AF3FEE" w:rsidRPr="00B70757" w:rsidRDefault="00AF3FEE" w:rsidP="00B70757">
                  <w:pPr>
                    <w:jc w:val="center"/>
                    <w:rPr>
                      <w:sz w:val="16"/>
                      <w:szCs w:val="16"/>
                    </w:rPr>
                  </w:pPr>
                  <w:r w:rsidRPr="00B70757">
                    <w:rPr>
                      <w:sz w:val="16"/>
                      <w:szCs w:val="16"/>
                    </w:rPr>
                    <w:t>Ratification et signature des 3 conventions de Rio</w:t>
                  </w:r>
                </w:p>
              </w:txbxContent>
            </v:textbox>
          </v:shape>
        </w:pict>
      </w:r>
    </w:p>
    <w:p w:rsidR="00917FD1" w:rsidRPr="00917FD1" w:rsidRDefault="00917FD1" w:rsidP="00AD1A5C">
      <w:pPr>
        <w:autoSpaceDE w:val="0"/>
        <w:autoSpaceDN w:val="0"/>
        <w:adjustRightInd w:val="0"/>
        <w:spacing w:after="0" w:line="240" w:lineRule="auto"/>
        <w:rPr>
          <w:rFonts w:ascii="Calibri" w:hAnsi="Calibri" w:cs="Calibri"/>
        </w:rPr>
      </w:pPr>
    </w:p>
    <w:p w:rsidR="00917FD1" w:rsidRPr="00917FD1" w:rsidRDefault="00917FD1" w:rsidP="00AD1A5C">
      <w:pPr>
        <w:autoSpaceDE w:val="0"/>
        <w:autoSpaceDN w:val="0"/>
        <w:adjustRightInd w:val="0"/>
        <w:spacing w:after="0" w:line="240" w:lineRule="auto"/>
        <w:rPr>
          <w:rFonts w:ascii="Calibri" w:hAnsi="Calibri" w:cs="Calibri"/>
        </w:rPr>
      </w:pPr>
    </w:p>
    <w:p w:rsidR="00917FD1" w:rsidRPr="00917FD1" w:rsidRDefault="006D55EB" w:rsidP="00AD1A5C">
      <w:pPr>
        <w:autoSpaceDE w:val="0"/>
        <w:autoSpaceDN w:val="0"/>
        <w:adjustRightInd w:val="0"/>
        <w:spacing w:after="0" w:line="240" w:lineRule="auto"/>
        <w:rPr>
          <w:rFonts w:ascii="Calibri" w:hAnsi="Calibri" w:cs="Calibri"/>
        </w:rPr>
      </w:pPr>
      <w:r>
        <w:rPr>
          <w:rFonts w:ascii="Calibri" w:hAnsi="Calibri" w:cs="Calibri"/>
          <w:noProof/>
          <w:lang w:eastAsia="fr-FR"/>
        </w:rPr>
        <w:pict>
          <v:shape id="_x0000_s1029" type="#_x0000_t202" style="position:absolute;margin-left:180.15pt;margin-top:5.7pt;width:126.7pt;height:17.2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">
            <v:textbox>
              <w:txbxContent>
                <w:p w:rsidR="00AF3FEE" w:rsidRPr="00B70757" w:rsidRDefault="00AF3FEE" w:rsidP="009A6AD0">
                  <w:pPr>
                    <w:jc w:val="center"/>
                    <w:rPr>
                      <w:sz w:val="16"/>
                      <w:szCs w:val="16"/>
                    </w:rPr>
                  </w:pPr>
                  <w:r w:rsidRPr="00B70757">
                    <w:rPr>
                      <w:sz w:val="16"/>
                      <w:szCs w:val="16"/>
                    </w:rPr>
                    <w:t>Étude documentaire</w:t>
                  </w:r>
                </w:p>
              </w:txbxContent>
            </v:textbox>
          </v:shape>
        </w:pict>
      </w:r>
      <w:r>
        <w:rPr>
          <w:rFonts w:ascii="Calibri" w:hAnsi="Calibri" w:cs="Calibri"/>
          <w:noProof/>
          <w:lang w:eastAsia="fr-FR"/>
        </w:rPr>
        <w:pict>
          <v:shape id="_x0000_s1030" type="#_x0000_t202" style="position:absolute;margin-left:.65pt;margin-top:12.45pt;width:156pt;height:20.1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">
            <v:textbox>
              <w:txbxContent>
                <w:p w:rsidR="00AF3FEE" w:rsidRPr="00B70757" w:rsidRDefault="00AF3FEE" w:rsidP="00B70757">
                  <w:pPr>
                    <w:jc w:val="center"/>
                    <w:rPr>
                      <w:sz w:val="16"/>
                      <w:szCs w:val="16"/>
                    </w:rPr>
                  </w:pPr>
                  <w:r w:rsidRPr="00B70757">
                    <w:rPr>
                      <w:sz w:val="16"/>
                      <w:szCs w:val="16"/>
                    </w:rPr>
                    <w:t>ANCRE (2004-2006)</w:t>
                  </w:r>
                </w:p>
              </w:txbxContent>
            </v:textbox>
          </v:shape>
        </w:pict>
      </w:r>
    </w:p>
    <w:p w:rsidR="00917FD1" w:rsidRPr="00917FD1" w:rsidRDefault="00917FD1" w:rsidP="00AD1A5C">
      <w:pPr>
        <w:autoSpaceDE w:val="0"/>
        <w:autoSpaceDN w:val="0"/>
        <w:adjustRightInd w:val="0"/>
        <w:spacing w:after="0" w:line="240" w:lineRule="auto"/>
        <w:rPr>
          <w:rFonts w:ascii="Calibri" w:hAnsi="Calibri" w:cs="Calibri"/>
        </w:rPr>
      </w:pPr>
    </w:p>
    <w:p w:rsidR="00917FD1" w:rsidRPr="00917FD1" w:rsidRDefault="00917FD1" w:rsidP="00AD1A5C">
      <w:pPr>
        <w:autoSpaceDE w:val="0"/>
        <w:autoSpaceDN w:val="0"/>
        <w:adjustRightInd w:val="0"/>
        <w:spacing w:after="0" w:line="240" w:lineRule="auto"/>
        <w:rPr>
          <w:rFonts w:ascii="Calibri" w:hAnsi="Calibri" w:cs="Calibri"/>
        </w:rPr>
      </w:pPr>
    </w:p>
    <w:p w:rsidR="00917FD1" w:rsidRPr="00917FD1" w:rsidRDefault="006D55EB" w:rsidP="00AD1A5C">
      <w:pPr>
        <w:autoSpaceDE w:val="0"/>
        <w:autoSpaceDN w:val="0"/>
        <w:adjustRightInd w:val="0"/>
        <w:spacing w:after="0" w:line="240" w:lineRule="auto"/>
        <w:rPr>
          <w:rFonts w:ascii="Calibri" w:hAnsi="Calibri" w:cs="Calibri"/>
        </w:rPr>
      </w:pPr>
      <w:r>
        <w:rPr>
          <w:rFonts w:ascii="Calibri" w:hAnsi="Calibri" w:cs="Calibri"/>
          <w:noProof/>
          <w:lang w:eastAsia="fr-FR"/>
        </w:rPr>
        <w:pict>
          <v:shape id="_x0000_s1031" type="#_x0000_t202" style="position:absolute;margin-left:180.15pt;margin-top:0;width:126.7pt;height:22.0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">
            <v:textbox>
              <w:txbxContent>
                <w:p w:rsidR="00AF3FEE" w:rsidRPr="00B70757" w:rsidRDefault="00AF3FEE" w:rsidP="00B70757">
                  <w:pPr>
                    <w:jc w:val="center"/>
                    <w:rPr>
                      <w:sz w:val="16"/>
                      <w:szCs w:val="16"/>
                    </w:rPr>
                  </w:pPr>
                  <w:r w:rsidRPr="00B70757">
                    <w:rPr>
                      <w:sz w:val="16"/>
                      <w:szCs w:val="16"/>
                    </w:rPr>
                    <w:t>Entretiens avec les parties prenantes</w:t>
                  </w:r>
                </w:p>
              </w:txbxContent>
            </v:textbox>
          </v:shape>
        </w:pict>
      </w:r>
    </w:p>
    <w:p w:rsidR="00917FD1" w:rsidRPr="00917FD1" w:rsidRDefault="006D55EB" w:rsidP="00AD1A5C">
      <w:pPr>
        <w:autoSpaceDE w:val="0"/>
        <w:autoSpaceDN w:val="0"/>
        <w:adjustRightInd w:val="0"/>
        <w:spacing w:after="0" w:line="240" w:lineRule="auto"/>
        <w:rPr>
          <w:rFonts w:ascii="Calibri" w:hAnsi="Calibri" w:cs="Calibri"/>
        </w:rPr>
      </w:pPr>
      <w:r>
        <w:rPr>
          <w:rFonts w:ascii="Calibri" w:hAnsi="Calibri" w:cs="Calibri"/>
          <w:noProof/>
          <w:lang w:eastAsia="fr-FR"/>
        </w:rPr>
        <w:pict>
          <v:shape id="_x0000_s1032" type="#_x0000_t202" style="position:absolute;margin-left:327.05pt;margin-top:-.05pt;width:126.7pt;height:74.4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">
            <v:textbox>
              <w:txbxContent>
                <w:p w:rsidR="00AF3FEE" w:rsidRPr="00B70757" w:rsidRDefault="00AF3FEE" w:rsidP="006C1A5B">
                  <w:pPr>
                    <w:jc w:val="both"/>
                    <w:rPr>
                      <w:sz w:val="16"/>
                      <w:szCs w:val="16"/>
                    </w:rPr>
                  </w:pPr>
                  <w:r>
                    <w:rPr>
                      <w:sz w:val="16"/>
                      <w:szCs w:val="16"/>
                    </w:rPr>
                    <w:t xml:space="preserve">Capacités renforcées pour l’intégration systématique des cibles environnementales mondiales dans la planification locale </w:t>
                  </w:r>
                </w:p>
              </w:txbxContent>
            </v:textbox>
          </v:shape>
        </w:pict>
      </w:r>
      <w:r>
        <w:rPr>
          <w:rFonts w:ascii="Calibri" w:hAnsi="Calibri" w:cs="Calibri"/>
          <w:noProof/>
          <w:lang w:eastAsia="fr-FR"/>
        </w:rPr>
        <w:pict>
          <v:shape id="_x0000_s1033" type="#_x0000_t202" style="position:absolute;margin-left:.2pt;margin-top:4.85pt;width:156pt;height:29.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">
            <v:textbox>
              <w:txbxContent>
                <w:p w:rsidR="00AF3FEE" w:rsidRPr="00B70757" w:rsidRDefault="00AF3FEE" w:rsidP="00B70757">
                  <w:pPr>
                    <w:jc w:val="center"/>
                    <w:rPr>
                      <w:sz w:val="16"/>
                      <w:szCs w:val="16"/>
                    </w:rPr>
                  </w:pPr>
                  <w:r w:rsidRPr="00B70757">
                    <w:rPr>
                      <w:sz w:val="16"/>
                      <w:szCs w:val="16"/>
                    </w:rPr>
                    <w:t>Charte Nationale de l’Environnement et du Développement Durable</w:t>
                  </w:r>
                </w:p>
              </w:txbxContent>
            </v:textbox>
          </v:shape>
        </w:pict>
      </w:r>
    </w:p>
    <w:p w:rsidR="00917FD1" w:rsidRPr="00917FD1" w:rsidRDefault="006D55EB" w:rsidP="00AD1A5C">
      <w:pPr>
        <w:autoSpaceDE w:val="0"/>
        <w:autoSpaceDN w:val="0"/>
        <w:adjustRightInd w:val="0"/>
        <w:spacing w:after="0" w:line="240" w:lineRule="auto"/>
        <w:rPr>
          <w:rFonts w:ascii="Calibri" w:hAnsi="Calibri" w:cs="Calibri"/>
        </w:rPr>
      </w:pPr>
      <w:r>
        <w:rPr>
          <w:rFonts w:ascii="Calibri" w:hAnsi="Calibri" w:cs="Calibri"/>
          <w:noProof/>
          <w:lang w:eastAsia="fr-FR"/>
        </w:rPr>
        <w:pict>
          <v:shape id="_x0000_s1034" type="#_x0000_t202" style="position:absolute;margin-left:180.2pt;margin-top:12.05pt;width:126.7pt;height:19.7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">
            <v:textbox>
              <w:txbxContent>
                <w:p w:rsidR="00AF3FEE" w:rsidRPr="00B70757" w:rsidRDefault="00AF3FEE" w:rsidP="00B70757">
                  <w:pPr>
                    <w:jc w:val="center"/>
                    <w:rPr>
                      <w:sz w:val="16"/>
                      <w:szCs w:val="16"/>
                    </w:rPr>
                  </w:pPr>
                  <w:r w:rsidRPr="00B70757">
                    <w:rPr>
                      <w:sz w:val="16"/>
                      <w:szCs w:val="16"/>
                    </w:rPr>
                    <w:t>Visites de terrain dans 2 régions pilotes</w:t>
                  </w:r>
                </w:p>
              </w:txbxContent>
            </v:textbox>
          </v:shape>
        </w:pict>
      </w:r>
    </w:p>
    <w:p w:rsidR="00917FD1" w:rsidRPr="00917FD1" w:rsidRDefault="00917FD1" w:rsidP="00AD1A5C">
      <w:pPr>
        <w:autoSpaceDE w:val="0"/>
        <w:autoSpaceDN w:val="0"/>
        <w:adjustRightInd w:val="0"/>
        <w:spacing w:after="0" w:line="240" w:lineRule="auto"/>
        <w:rPr>
          <w:rFonts w:ascii="Calibri" w:hAnsi="Calibri" w:cs="Calibri"/>
        </w:rPr>
      </w:pPr>
    </w:p>
    <w:p w:rsidR="00917FD1" w:rsidRPr="00917FD1" w:rsidRDefault="006D55EB" w:rsidP="00AD1A5C">
      <w:pPr>
        <w:autoSpaceDE w:val="0"/>
        <w:autoSpaceDN w:val="0"/>
        <w:adjustRightInd w:val="0"/>
        <w:spacing w:after="0" w:line="240" w:lineRule="auto"/>
        <w:rPr>
          <w:rFonts w:ascii="Calibri" w:hAnsi="Calibri" w:cs="Calibri"/>
        </w:rPr>
      </w:pPr>
      <w:r>
        <w:rPr>
          <w:rFonts w:ascii="Calibri" w:hAnsi="Calibri" w:cs="Calibri"/>
          <w:noProof/>
          <w:lang w:eastAsia="fr-FR"/>
        </w:rPr>
        <w:pict>
          <v:shape id="_x0000_s1035" type="#_x0000_t202" style="position:absolute;margin-left:.65pt;margin-top:10.6pt;width:156pt;height:28.8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">
            <v:textbox>
              <w:txbxContent>
                <w:p w:rsidR="00AF3FEE" w:rsidRPr="00B70757" w:rsidRDefault="00AF3FEE" w:rsidP="00B70757">
                  <w:pPr>
                    <w:jc w:val="center"/>
                    <w:rPr>
                      <w:sz w:val="16"/>
                      <w:szCs w:val="16"/>
                    </w:rPr>
                  </w:pPr>
                  <w:r>
                    <w:rPr>
                      <w:sz w:val="16"/>
                      <w:szCs w:val="16"/>
                    </w:rPr>
                    <w:t xml:space="preserve">Régionalisation avancée </w:t>
                  </w:r>
                </w:p>
              </w:txbxContent>
            </v:textbox>
          </v:shape>
        </w:pict>
      </w:r>
    </w:p>
    <w:p w:rsidR="00917FD1" w:rsidRPr="00917FD1" w:rsidRDefault="006D55EB" w:rsidP="00AD1A5C">
      <w:pPr>
        <w:autoSpaceDE w:val="0"/>
        <w:autoSpaceDN w:val="0"/>
        <w:adjustRightInd w:val="0"/>
        <w:spacing w:after="0" w:line="240" w:lineRule="auto"/>
        <w:rPr>
          <w:rFonts w:ascii="Calibri" w:hAnsi="Calibri" w:cs="Calibri"/>
        </w:rPr>
      </w:pPr>
      <w:r>
        <w:rPr>
          <w:rFonts w:ascii="Calibri" w:hAnsi="Calibri" w:cs="Calibri"/>
          <w:noProof/>
          <w:lang w:eastAsia="fr-FR"/>
        </w:rPr>
        <w:pict>
          <v:shape id="_x0000_s1036" type="#_x0000_t202" style="position:absolute;margin-left:180.45pt;margin-top:2.4pt;width:126.7pt;height:29.1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">
            <v:textbox>
              <w:txbxContent>
                <w:p w:rsidR="00AF3FEE" w:rsidRPr="00B70757" w:rsidRDefault="00AF3FEE" w:rsidP="00B70757">
                  <w:pPr>
                    <w:jc w:val="center"/>
                    <w:rPr>
                      <w:sz w:val="16"/>
                      <w:szCs w:val="16"/>
                    </w:rPr>
                  </w:pPr>
                  <w:r w:rsidRPr="00B70757">
                    <w:rPr>
                      <w:sz w:val="16"/>
                      <w:szCs w:val="16"/>
                    </w:rPr>
                    <w:t>Premières conclusions de l’évaluation</w:t>
                  </w:r>
                </w:p>
              </w:txbxContent>
            </v:textbox>
          </v:shape>
        </w:pict>
      </w:r>
    </w:p>
    <w:p w:rsidR="00917FD1" w:rsidRPr="00917FD1" w:rsidRDefault="00917FD1" w:rsidP="00AD1A5C">
      <w:pPr>
        <w:autoSpaceDE w:val="0"/>
        <w:autoSpaceDN w:val="0"/>
        <w:adjustRightInd w:val="0"/>
        <w:spacing w:after="0" w:line="240" w:lineRule="auto"/>
        <w:rPr>
          <w:rFonts w:ascii="Calibri" w:hAnsi="Calibri" w:cs="Calibri"/>
        </w:rPr>
      </w:pPr>
    </w:p>
    <w:p w:rsidR="00917FD1" w:rsidRPr="00917FD1" w:rsidRDefault="00917FD1" w:rsidP="00AD1A5C">
      <w:pPr>
        <w:autoSpaceDE w:val="0"/>
        <w:autoSpaceDN w:val="0"/>
        <w:adjustRightInd w:val="0"/>
        <w:spacing w:after="0" w:line="240" w:lineRule="auto"/>
        <w:rPr>
          <w:rFonts w:ascii="Calibri" w:hAnsi="Calibri" w:cs="Calibri"/>
        </w:rPr>
      </w:pPr>
    </w:p>
    <w:p w:rsidR="00917FD1" w:rsidRPr="00917FD1" w:rsidRDefault="006D55EB" w:rsidP="00AD1A5C">
      <w:pPr>
        <w:autoSpaceDE w:val="0"/>
        <w:autoSpaceDN w:val="0"/>
        <w:adjustRightInd w:val="0"/>
        <w:spacing w:after="0" w:line="240" w:lineRule="auto"/>
        <w:rPr>
          <w:rFonts w:ascii="Calibri" w:hAnsi="Calibri" w:cs="Calibri"/>
        </w:rPr>
      </w:pPr>
      <w:r>
        <w:rPr>
          <w:rFonts w:ascii="Calibri" w:hAnsi="Calibri" w:cs="Calibri"/>
          <w:noProof/>
          <w:lang w:eastAsia="fr-FR"/>
        </w:rPr>
        <w:pict>
          <v:shape id="_x0000_s1037" type="#_x0000_t202" style="position:absolute;margin-left:180.15pt;margin-top:4.9pt;width:126.7pt;height:34.0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">
            <v:textbox>
              <w:txbxContent>
                <w:p w:rsidR="00AF3FEE" w:rsidRPr="00B70757" w:rsidRDefault="00AF3FEE" w:rsidP="00B70757">
                  <w:pPr>
                    <w:jc w:val="center"/>
                    <w:rPr>
                      <w:sz w:val="16"/>
                      <w:szCs w:val="16"/>
                    </w:rPr>
                  </w:pPr>
                  <w:r w:rsidRPr="00B70757">
                    <w:rPr>
                      <w:sz w:val="16"/>
                      <w:szCs w:val="16"/>
                    </w:rPr>
                    <w:t>Atelier de présentation des résultats de l’évaluation</w:t>
                  </w:r>
                </w:p>
              </w:txbxContent>
            </v:textbox>
          </v:shape>
        </w:pict>
      </w:r>
      <w:r>
        <w:rPr>
          <w:rFonts w:ascii="Calibri" w:hAnsi="Calibri" w:cs="Calibri"/>
          <w:noProof/>
          <w:lang w:eastAsia="fr-FR"/>
        </w:rPr>
        <w:pict>
          <v:shape id="_x0000_s1038" type="#_x0000_t202" style="position:absolute;margin-left:327pt;margin-top:4.35pt;width:126.7pt;height:43.6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">
            <v:textbox>
              <w:txbxContent>
                <w:p w:rsidR="00AF3FEE" w:rsidRPr="00B70757" w:rsidRDefault="00AF3FEE" w:rsidP="006C1A5B">
                  <w:pPr>
                    <w:jc w:val="both"/>
                    <w:rPr>
                      <w:sz w:val="16"/>
                      <w:szCs w:val="16"/>
                    </w:rPr>
                  </w:pPr>
                  <w:r>
                    <w:rPr>
                      <w:sz w:val="16"/>
                      <w:szCs w:val="16"/>
                    </w:rPr>
                    <w:t xml:space="preserve">Système établi de gestion adaptative du projet et des leçons tirées </w:t>
                  </w:r>
                </w:p>
              </w:txbxContent>
            </v:textbox>
          </v:shape>
        </w:pict>
      </w:r>
      <w:r>
        <w:rPr>
          <w:rFonts w:ascii="Calibri" w:hAnsi="Calibri" w:cs="Calibri"/>
          <w:noProof/>
          <w:lang w:eastAsia="fr-FR"/>
        </w:rPr>
        <w:pict>
          <v:shape id="_x0000_s1039" type="#_x0000_t202" style="position:absolute;margin-left:.65pt;margin-top:3pt;width:156pt;height:28.8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Q1JwIAAEw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">
            <v:textbox>
              <w:txbxContent>
                <w:p w:rsidR="00AF3FEE" w:rsidRPr="00B70757" w:rsidRDefault="00AF3FEE" w:rsidP="00B70757">
                  <w:pPr>
                    <w:jc w:val="center"/>
                    <w:rPr>
                      <w:sz w:val="16"/>
                      <w:szCs w:val="16"/>
                    </w:rPr>
                  </w:pPr>
                  <w:r w:rsidRPr="00B70757">
                    <w:rPr>
                      <w:sz w:val="16"/>
                      <w:szCs w:val="16"/>
                    </w:rPr>
                    <w:t>Deuxième phase de l’Initiative Nationale pour le Développement Humain</w:t>
                  </w:r>
                </w:p>
              </w:txbxContent>
            </v:textbox>
          </v:shape>
        </w:pict>
      </w:r>
    </w:p>
    <w:p w:rsidR="00917FD1" w:rsidRPr="00917FD1" w:rsidRDefault="00917FD1" w:rsidP="00AD1A5C">
      <w:pPr>
        <w:autoSpaceDE w:val="0"/>
        <w:autoSpaceDN w:val="0"/>
        <w:adjustRightInd w:val="0"/>
        <w:spacing w:after="0" w:line="240" w:lineRule="auto"/>
        <w:rPr>
          <w:rFonts w:ascii="Calibri" w:hAnsi="Calibri" w:cs="Calibri"/>
        </w:rPr>
      </w:pPr>
    </w:p>
    <w:p w:rsidR="00917FD1" w:rsidRPr="00917FD1" w:rsidRDefault="006D55EB" w:rsidP="00AD1A5C">
      <w:pPr>
        <w:autoSpaceDE w:val="0"/>
        <w:autoSpaceDN w:val="0"/>
        <w:adjustRightInd w:val="0"/>
        <w:spacing w:after="0" w:line="240" w:lineRule="auto"/>
        <w:rPr>
          <w:rFonts w:ascii="Calibri" w:hAnsi="Calibri" w:cs="Calibri"/>
        </w:rPr>
      </w:pPr>
      <w:r>
        <w:rPr>
          <w:rFonts w:ascii="Calibri" w:hAnsi="Calibri" w:cs="Calibri"/>
          <w:noProof/>
          <w:lang w:eastAsia="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1" o:spid="_x0000_s1043" type="#_x0000_t67" style="position:absolute;margin-left:57.9pt;margin-top:12.2pt;width:24.9pt;height:91.25pt;z-index:251691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" adj="18650" fillcolor="white [3201]" strokecolor="#f79646 [3209]" strokeweight="2pt"/>
        </w:pict>
      </w:r>
    </w:p>
    <w:p w:rsidR="00352753" w:rsidRDefault="00352753" w:rsidP="00AD1A5C">
      <w:pPr>
        <w:autoSpaceDE w:val="0"/>
        <w:autoSpaceDN w:val="0"/>
        <w:adjustRightInd w:val="0"/>
        <w:spacing w:after="0" w:line="240" w:lineRule="auto"/>
        <w:rPr>
          <w:rFonts w:ascii="Calibri" w:hAnsi="Calibri" w:cs="Calibri"/>
        </w:rPr>
      </w:pPr>
    </w:p>
    <w:p w:rsidR="00352753" w:rsidRDefault="006D55EB" w:rsidP="00AD1A5C">
      <w:pPr>
        <w:autoSpaceDE w:val="0"/>
        <w:autoSpaceDN w:val="0"/>
        <w:adjustRightInd w:val="0"/>
        <w:spacing w:after="0" w:line="240" w:lineRule="auto"/>
        <w:rPr>
          <w:rFonts w:ascii="Calibri" w:hAnsi="Calibri" w:cs="Calibri"/>
        </w:rPr>
      </w:pPr>
      <w:r>
        <w:rPr>
          <w:rFonts w:ascii="Calibri" w:hAnsi="Calibri" w:cs="Calibri"/>
          <w:noProof/>
          <w:lang w:eastAsia="fr-FR"/>
        </w:rPr>
        <w:pict>
          <v:shape id="Down Arrow 23" o:spid="_x0000_s1042" type="#_x0000_t67" style="position:absolute;margin-left:370.55pt;margin-top:3.1pt;width:24.9pt;height:91.25pt;z-index:2516951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" adj="18653" fillcolor="window" strokecolor="#f79646" strokeweight="2pt"/>
        </w:pict>
      </w:r>
      <w:r>
        <w:rPr>
          <w:rFonts w:ascii="Calibri" w:hAnsi="Calibri" w:cs="Calibri"/>
          <w:noProof/>
          <w:lang w:eastAsia="fr-FR"/>
        </w:rPr>
        <w:pict>
          <v:shape id="_x0000_s1040" type="#_x0000_t202" style="position:absolute;margin-left:179.6pt;margin-top:3.35pt;width:127.65pt;height:19.6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">
            <v:textbox>
              <w:txbxContent>
                <w:p w:rsidR="00AF3FEE" w:rsidRPr="00B70757" w:rsidRDefault="00AF3FEE" w:rsidP="00B70757">
                  <w:pPr>
                    <w:jc w:val="center"/>
                    <w:rPr>
                      <w:sz w:val="16"/>
                      <w:szCs w:val="16"/>
                    </w:rPr>
                  </w:pPr>
                  <w:r w:rsidRPr="00B70757">
                    <w:rPr>
                      <w:sz w:val="16"/>
                      <w:szCs w:val="16"/>
                    </w:rPr>
                    <w:t>Rapport final de l’évaluation</w:t>
                  </w:r>
                </w:p>
              </w:txbxContent>
            </v:textbox>
          </v:shape>
        </w:pict>
      </w:r>
    </w:p>
    <w:p w:rsidR="00352753" w:rsidRDefault="00352753" w:rsidP="00AD1A5C">
      <w:pPr>
        <w:autoSpaceDE w:val="0"/>
        <w:autoSpaceDN w:val="0"/>
        <w:adjustRightInd w:val="0"/>
        <w:spacing w:after="0" w:line="240" w:lineRule="auto"/>
        <w:rPr>
          <w:rFonts w:ascii="Calibri" w:hAnsi="Calibri" w:cs="Calibri"/>
        </w:rPr>
      </w:pPr>
    </w:p>
    <w:p w:rsidR="00917FD1" w:rsidRDefault="006D55EB" w:rsidP="00AD1A5C">
      <w:pPr>
        <w:autoSpaceDE w:val="0"/>
        <w:autoSpaceDN w:val="0"/>
        <w:adjustRightInd w:val="0"/>
        <w:spacing w:after="0" w:line="240" w:lineRule="auto"/>
        <w:rPr>
          <w:rFonts w:ascii="Calibri" w:hAnsi="Calibri" w:cs="Calibri"/>
        </w:rPr>
      </w:pPr>
      <w:r>
        <w:rPr>
          <w:rFonts w:ascii="Calibri" w:hAnsi="Calibri" w:cs="Calibri"/>
          <w:noProof/>
          <w:lang w:eastAsia="fr-FR"/>
        </w:rPr>
        <w:pict>
          <v:shape id="Down Arrow 22" o:spid="_x0000_s1041" type="#_x0000_t67" style="position:absolute;margin-left:228.2pt;margin-top:9.6pt;width:24.9pt;height:70.55pt;z-index:2516930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" adj="17788" fillcolor="window" strokecolor="#f79646" strokeweight="2pt"/>
        </w:pict>
      </w:r>
    </w:p>
    <w:p w:rsidR="00352753" w:rsidRDefault="00352753" w:rsidP="00AD1A5C">
      <w:pPr>
        <w:autoSpaceDE w:val="0"/>
        <w:autoSpaceDN w:val="0"/>
        <w:adjustRightInd w:val="0"/>
        <w:spacing w:after="0" w:line="240" w:lineRule="auto"/>
        <w:rPr>
          <w:rFonts w:ascii="Calibri" w:hAnsi="Calibri" w:cs="Calibri"/>
        </w:rPr>
      </w:pPr>
    </w:p>
    <w:p w:rsidR="00352753" w:rsidRDefault="00352753" w:rsidP="00AD1A5C">
      <w:pPr>
        <w:autoSpaceDE w:val="0"/>
        <w:autoSpaceDN w:val="0"/>
        <w:adjustRightInd w:val="0"/>
        <w:spacing w:after="0" w:line="240" w:lineRule="auto"/>
        <w:rPr>
          <w:rFonts w:ascii="Calibri" w:hAnsi="Calibri" w:cs="Calibri"/>
        </w:rPr>
      </w:pPr>
    </w:p>
    <w:p w:rsidR="00352753" w:rsidRDefault="00352753" w:rsidP="00AD1A5C">
      <w:pPr>
        <w:autoSpaceDE w:val="0"/>
        <w:autoSpaceDN w:val="0"/>
        <w:adjustRightInd w:val="0"/>
        <w:spacing w:after="0" w:line="240" w:lineRule="auto"/>
        <w:rPr>
          <w:rFonts w:ascii="Calibri" w:hAnsi="Calibri" w:cs="Calibri"/>
        </w:rPr>
      </w:pPr>
    </w:p>
    <w:p w:rsidR="00352753" w:rsidRPr="00917FD1" w:rsidRDefault="00352753" w:rsidP="00AD1A5C">
      <w:pPr>
        <w:autoSpaceDE w:val="0"/>
        <w:autoSpaceDN w:val="0"/>
        <w:adjustRightInd w:val="0"/>
        <w:spacing w:after="0" w:line="240" w:lineRule="auto"/>
        <w:rPr>
          <w:rFonts w:ascii="Calibri" w:hAnsi="Calibri" w:cs="Calibri"/>
        </w:rPr>
      </w:pPr>
    </w:p>
    <w:p w:rsidR="00917FD1" w:rsidRPr="00352753" w:rsidRDefault="00374977" w:rsidP="00352753">
      <w:pPr>
        <w:autoSpaceDE w:val="0"/>
        <w:autoSpaceDN w:val="0"/>
        <w:adjustRightInd w:val="0"/>
        <w:spacing w:after="0" w:line="240" w:lineRule="auto"/>
        <w:rPr>
          <w:rFonts w:ascii="Calibri" w:hAnsi="Calibri" w:cs="Calibri"/>
        </w:rPr>
      </w:pPr>
      <w:r w:rsidRPr="00352753">
        <w:rPr>
          <w:rFonts w:ascii="Calibri" w:hAnsi="Calibri" w:cs="Calibri"/>
        </w:rPr>
        <w:t xml:space="preserve">Participation et engagement des </w:t>
      </w:r>
    </w:p>
    <w:p w:rsidR="00326258" w:rsidRDefault="00352753" w:rsidP="00326258">
      <w:pPr>
        <w:tabs>
          <w:tab w:val="left" w:pos="2707"/>
        </w:tabs>
        <w:autoSpaceDE w:val="0"/>
        <w:autoSpaceDN w:val="0"/>
        <w:adjustRightInd w:val="0"/>
        <w:spacing w:after="0" w:line="240" w:lineRule="auto"/>
        <w:rPr>
          <w:rFonts w:ascii="Calibri" w:hAnsi="Calibri" w:cs="Calibri"/>
        </w:rPr>
      </w:pPr>
      <w:r>
        <w:rPr>
          <w:rFonts w:ascii="Calibri" w:hAnsi="Calibri" w:cs="Calibri"/>
        </w:rPr>
        <w:t>p</w:t>
      </w:r>
      <w:r w:rsidR="00374977">
        <w:rPr>
          <w:rFonts w:ascii="Calibri" w:hAnsi="Calibri" w:cs="Calibri"/>
        </w:rPr>
        <w:t>arties prenantes</w:t>
      </w:r>
      <w:r w:rsidR="00374977">
        <w:rPr>
          <w:rFonts w:ascii="Calibri" w:hAnsi="Calibri" w:cs="Calibri"/>
        </w:rPr>
        <w:tab/>
      </w:r>
      <w:r w:rsidR="00374977">
        <w:rPr>
          <w:rFonts w:ascii="Calibri" w:hAnsi="Calibri" w:cs="Calibri"/>
        </w:rPr>
        <w:tab/>
      </w:r>
      <w:r w:rsidR="00374977">
        <w:rPr>
          <w:rFonts w:ascii="Calibri" w:hAnsi="Calibri" w:cs="Calibri"/>
        </w:rPr>
        <w:tab/>
        <w:t xml:space="preserve">Mise en œuvre, </w:t>
      </w:r>
      <w:r w:rsidR="00845F98">
        <w:rPr>
          <w:rFonts w:ascii="Calibri" w:hAnsi="Calibri" w:cs="Calibri"/>
        </w:rPr>
        <w:t>S&amp;E</w:t>
      </w:r>
      <w:r w:rsidR="00845F98">
        <w:rPr>
          <w:rFonts w:ascii="Calibri" w:hAnsi="Calibri" w:cs="Calibri"/>
        </w:rPr>
        <w:tab/>
      </w:r>
      <w:r w:rsidR="004210F9">
        <w:rPr>
          <w:rFonts w:ascii="Calibri" w:hAnsi="Calibri" w:cs="Calibri"/>
        </w:rPr>
        <w:tab/>
        <w:t xml:space="preserve">   Atteinte des objectifs</w:t>
      </w:r>
    </w:p>
    <w:p w:rsidR="00374977" w:rsidRDefault="00845F98" w:rsidP="00326258">
      <w:pPr>
        <w:tabs>
          <w:tab w:val="left" w:pos="2707"/>
        </w:tabs>
        <w:autoSpaceDE w:val="0"/>
        <w:autoSpaceDN w:val="0"/>
        <w:adjustRightInd w:val="0"/>
        <w:spacing w:after="0" w:line="240" w:lineRule="auto"/>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4210F9">
        <w:rPr>
          <w:rFonts w:ascii="Calibri" w:hAnsi="Calibri" w:cs="Calibri"/>
        </w:rPr>
        <w:tab/>
      </w:r>
      <w:r w:rsidR="004210F9">
        <w:rPr>
          <w:rFonts w:ascii="Calibri" w:hAnsi="Calibri" w:cs="Calibri"/>
        </w:rPr>
        <w:tab/>
      </w:r>
      <w:r w:rsidR="004210F9">
        <w:rPr>
          <w:rFonts w:ascii="Calibri" w:hAnsi="Calibri" w:cs="Calibri"/>
        </w:rPr>
        <w:tab/>
      </w:r>
    </w:p>
    <w:p w:rsidR="00845F98" w:rsidRDefault="00845F98" w:rsidP="00352753">
      <w:pPr>
        <w:tabs>
          <w:tab w:val="left" w:pos="2707"/>
        </w:tabs>
        <w:autoSpaceDE w:val="0"/>
        <w:autoSpaceDN w:val="0"/>
        <w:adjustRightInd w:val="0"/>
        <w:spacing w:after="0" w:line="240" w:lineRule="auto"/>
        <w:rPr>
          <w:rFonts w:ascii="Calibri" w:hAnsi="Calibri" w:cs="Calibri"/>
        </w:rPr>
      </w:pPr>
    </w:p>
    <w:p w:rsidR="00374977" w:rsidRPr="00845F98" w:rsidRDefault="00374977" w:rsidP="00352753">
      <w:pPr>
        <w:tabs>
          <w:tab w:val="left" w:pos="2707"/>
        </w:tabs>
        <w:autoSpaceDE w:val="0"/>
        <w:autoSpaceDN w:val="0"/>
        <w:adjustRightInd w:val="0"/>
        <w:spacing w:after="0" w:line="240" w:lineRule="auto"/>
        <w:rPr>
          <w:rFonts w:ascii="Calibri" w:hAnsi="Calibri" w:cs="Calibri"/>
          <w:color w:val="FF0000"/>
        </w:rPr>
      </w:pPr>
      <w:r w:rsidRPr="00845F98">
        <w:rPr>
          <w:rFonts w:ascii="Calibri" w:hAnsi="Calibri" w:cs="Calibri"/>
          <w:color w:val="FF0000"/>
        </w:rPr>
        <w:t>Pertinence du projet</w:t>
      </w:r>
      <w:r w:rsidR="004210F9" w:rsidRPr="00845F98">
        <w:rPr>
          <w:rFonts w:ascii="Calibri" w:hAnsi="Calibri" w:cs="Calibri"/>
          <w:color w:val="FF0000"/>
        </w:rPr>
        <w:tab/>
      </w:r>
      <w:r w:rsidR="004210F9" w:rsidRPr="00845F98">
        <w:rPr>
          <w:rFonts w:ascii="Calibri" w:hAnsi="Calibri" w:cs="Calibri"/>
          <w:color w:val="FF0000"/>
        </w:rPr>
        <w:tab/>
      </w:r>
      <w:r w:rsidR="004210F9" w:rsidRPr="00845F98">
        <w:rPr>
          <w:rFonts w:ascii="Calibri" w:hAnsi="Calibri" w:cs="Calibri"/>
          <w:color w:val="FF0000"/>
        </w:rPr>
        <w:tab/>
        <w:t>Efficacité, efficience du projet</w:t>
      </w:r>
      <w:r w:rsidR="00845F98" w:rsidRPr="00845F98">
        <w:rPr>
          <w:rFonts w:ascii="Calibri" w:hAnsi="Calibri" w:cs="Calibri"/>
          <w:color w:val="FF0000"/>
        </w:rPr>
        <w:tab/>
        <w:t xml:space="preserve">    Durabilité des résultats</w:t>
      </w:r>
    </w:p>
    <w:p w:rsidR="00B75CED" w:rsidRDefault="00B75CED" w:rsidP="00326258">
      <w:pPr>
        <w:tabs>
          <w:tab w:val="left" w:pos="2707"/>
        </w:tabs>
        <w:autoSpaceDE w:val="0"/>
        <w:autoSpaceDN w:val="0"/>
        <w:adjustRightInd w:val="0"/>
        <w:spacing w:after="0" w:line="240" w:lineRule="auto"/>
        <w:rPr>
          <w:rFonts w:ascii="Calibri" w:hAnsi="Calibri" w:cs="Calibri"/>
        </w:rPr>
      </w:pPr>
    </w:p>
    <w:p w:rsidR="00352753" w:rsidRDefault="00352753" w:rsidP="00326258">
      <w:pPr>
        <w:tabs>
          <w:tab w:val="left" w:pos="2707"/>
        </w:tabs>
        <w:autoSpaceDE w:val="0"/>
        <w:autoSpaceDN w:val="0"/>
        <w:adjustRightInd w:val="0"/>
        <w:spacing w:after="0" w:line="240" w:lineRule="auto"/>
        <w:rPr>
          <w:rFonts w:ascii="Calibri" w:hAnsi="Calibri" w:cs="Calibri"/>
        </w:rPr>
      </w:pPr>
    </w:p>
    <w:p w:rsidR="00352753" w:rsidRDefault="00352753" w:rsidP="00326258">
      <w:pPr>
        <w:tabs>
          <w:tab w:val="left" w:pos="2707"/>
        </w:tabs>
        <w:autoSpaceDE w:val="0"/>
        <w:autoSpaceDN w:val="0"/>
        <w:adjustRightInd w:val="0"/>
        <w:spacing w:after="0" w:line="240" w:lineRule="auto"/>
        <w:rPr>
          <w:rFonts w:ascii="Calibri" w:hAnsi="Calibri" w:cs="Calibri"/>
        </w:rPr>
      </w:pPr>
    </w:p>
    <w:p w:rsidR="00326258" w:rsidRPr="00760D50" w:rsidRDefault="00760D50" w:rsidP="00326258">
      <w:pPr>
        <w:tabs>
          <w:tab w:val="left" w:pos="2707"/>
        </w:tabs>
        <w:autoSpaceDE w:val="0"/>
        <w:autoSpaceDN w:val="0"/>
        <w:adjustRightInd w:val="0"/>
        <w:spacing w:after="0" w:line="240" w:lineRule="auto"/>
        <w:rPr>
          <w:rFonts w:ascii="Calibri" w:hAnsi="Calibri" w:cs="Calibri"/>
          <w:b/>
        </w:rPr>
      </w:pPr>
      <w:r w:rsidRPr="00760D50">
        <w:rPr>
          <w:rFonts w:ascii="Calibri" w:hAnsi="Calibri" w:cs="Calibri"/>
          <w:b/>
        </w:rPr>
        <w:t xml:space="preserve">I.2.2.1 </w:t>
      </w:r>
      <w:r w:rsidR="00326258" w:rsidRPr="00760D50">
        <w:rPr>
          <w:rFonts w:ascii="Calibri" w:hAnsi="Calibri" w:cs="Calibri"/>
          <w:b/>
        </w:rPr>
        <w:t>Réunions de briefing</w:t>
      </w:r>
    </w:p>
    <w:p w:rsidR="00917FD1" w:rsidRDefault="00326258" w:rsidP="00B04D2C">
      <w:pPr>
        <w:tabs>
          <w:tab w:val="left" w:pos="2707"/>
        </w:tabs>
        <w:autoSpaceDE w:val="0"/>
        <w:autoSpaceDN w:val="0"/>
        <w:adjustRightInd w:val="0"/>
        <w:spacing w:after="0" w:line="240" w:lineRule="auto"/>
        <w:jc w:val="both"/>
        <w:rPr>
          <w:rFonts w:ascii="Calibri" w:hAnsi="Calibri" w:cs="Calibri"/>
        </w:rPr>
      </w:pPr>
      <w:r w:rsidRPr="00326258">
        <w:rPr>
          <w:rFonts w:ascii="Calibri" w:hAnsi="Calibri" w:cs="Calibri"/>
        </w:rPr>
        <w:t xml:space="preserve">En vue de lancer </w:t>
      </w:r>
      <w:r>
        <w:rPr>
          <w:rFonts w:ascii="Calibri" w:hAnsi="Calibri" w:cs="Calibri"/>
        </w:rPr>
        <w:t xml:space="preserve">l’évaluation finale du projet, </w:t>
      </w:r>
      <w:r w:rsidR="008B20F9">
        <w:rPr>
          <w:rFonts w:ascii="Calibri" w:hAnsi="Calibri" w:cs="Calibri"/>
        </w:rPr>
        <w:t>deux</w:t>
      </w:r>
      <w:r w:rsidRPr="00326258">
        <w:rPr>
          <w:rFonts w:ascii="Calibri" w:hAnsi="Calibri" w:cs="Calibri"/>
        </w:rPr>
        <w:t>réunion</w:t>
      </w:r>
      <w:r w:rsidR="008B20F9">
        <w:rPr>
          <w:rFonts w:ascii="Calibri" w:hAnsi="Calibri" w:cs="Calibri"/>
        </w:rPr>
        <w:t>s</w:t>
      </w:r>
      <w:r w:rsidRPr="00326258">
        <w:rPr>
          <w:rFonts w:ascii="Calibri" w:hAnsi="Calibri" w:cs="Calibri"/>
        </w:rPr>
        <w:t xml:space="preserve"> de briefing </w:t>
      </w:r>
      <w:r w:rsidR="008B20F9">
        <w:rPr>
          <w:rFonts w:ascii="Calibri" w:hAnsi="Calibri" w:cs="Calibri"/>
        </w:rPr>
        <w:t>ont</w:t>
      </w:r>
      <w:r w:rsidRPr="00326258">
        <w:rPr>
          <w:rFonts w:ascii="Calibri" w:hAnsi="Calibri" w:cs="Calibri"/>
        </w:rPr>
        <w:t>été tenue</w:t>
      </w:r>
      <w:r w:rsidR="008B20F9">
        <w:rPr>
          <w:rFonts w:ascii="Calibri" w:hAnsi="Calibri" w:cs="Calibri"/>
        </w:rPr>
        <w:t>s</w:t>
      </w:r>
      <w:r w:rsidRPr="00326258">
        <w:rPr>
          <w:rFonts w:ascii="Calibri" w:hAnsi="Calibri" w:cs="Calibri"/>
        </w:rPr>
        <w:t xml:space="preserve"> a</w:t>
      </w:r>
      <w:r w:rsidR="008B20F9">
        <w:rPr>
          <w:rFonts w:ascii="Calibri" w:hAnsi="Calibri" w:cs="Calibri"/>
        </w:rPr>
        <w:t>vec les personnes ressources du PNUD et de</w:t>
      </w:r>
      <w:r>
        <w:rPr>
          <w:rFonts w:ascii="Calibri" w:hAnsi="Calibri" w:cs="Calibri"/>
        </w:rPr>
        <w:t xml:space="preserve"> l’unité de gestion du projet. Ce</w:t>
      </w:r>
      <w:r w:rsidR="00E25ED6">
        <w:rPr>
          <w:rFonts w:ascii="Calibri" w:hAnsi="Calibri" w:cs="Calibri"/>
        </w:rPr>
        <w:t>s</w:t>
      </w:r>
      <w:r>
        <w:rPr>
          <w:rFonts w:ascii="Calibri" w:hAnsi="Calibri" w:cs="Calibri"/>
        </w:rPr>
        <w:t xml:space="preserve"> réunion</w:t>
      </w:r>
      <w:r w:rsidR="00E25ED6">
        <w:rPr>
          <w:rFonts w:ascii="Calibri" w:hAnsi="Calibri" w:cs="Calibri"/>
        </w:rPr>
        <w:t>sont</w:t>
      </w:r>
      <w:r w:rsidRPr="00326258">
        <w:rPr>
          <w:rFonts w:ascii="Calibri" w:hAnsi="Calibri" w:cs="Calibri"/>
        </w:rPr>
        <w:t xml:space="preserve"> permis à l’évaluateur d’avoir une vision globale de la démarche </w:t>
      </w:r>
      <w:r w:rsidR="004B167C">
        <w:rPr>
          <w:rFonts w:ascii="Calibri" w:hAnsi="Calibri" w:cs="Calibri"/>
        </w:rPr>
        <w:t xml:space="preserve">IEL adoptée par le </w:t>
      </w:r>
      <w:r w:rsidRPr="00326258">
        <w:rPr>
          <w:rFonts w:ascii="Calibri" w:hAnsi="Calibri" w:cs="Calibri"/>
        </w:rPr>
        <w:t>projet, ses activités ainsi</w:t>
      </w:r>
      <w:r>
        <w:rPr>
          <w:rFonts w:ascii="Calibri" w:hAnsi="Calibri" w:cs="Calibri"/>
        </w:rPr>
        <w:t xml:space="preserve"> que ses réalisations. </w:t>
      </w:r>
      <w:r w:rsidRPr="00326258">
        <w:rPr>
          <w:rFonts w:ascii="Calibri" w:hAnsi="Calibri" w:cs="Calibri"/>
        </w:rPr>
        <w:t>Ce</w:t>
      </w:r>
      <w:r w:rsidR="00E25ED6">
        <w:rPr>
          <w:rFonts w:ascii="Calibri" w:hAnsi="Calibri" w:cs="Calibri"/>
        </w:rPr>
        <w:t>s</w:t>
      </w:r>
      <w:r w:rsidRPr="00326258">
        <w:rPr>
          <w:rFonts w:ascii="Calibri" w:hAnsi="Calibri" w:cs="Calibri"/>
        </w:rPr>
        <w:t xml:space="preserve"> rencontre</w:t>
      </w:r>
      <w:r w:rsidR="00E25ED6">
        <w:rPr>
          <w:rFonts w:ascii="Calibri" w:hAnsi="Calibri" w:cs="Calibri"/>
        </w:rPr>
        <w:t>sont</w:t>
      </w:r>
      <w:r w:rsidRPr="00326258">
        <w:rPr>
          <w:rFonts w:ascii="Calibri" w:hAnsi="Calibri" w:cs="Calibri"/>
        </w:rPr>
        <w:t xml:space="preserve">été </w:t>
      </w:r>
      <w:r w:rsidR="00E25ED6">
        <w:rPr>
          <w:rFonts w:ascii="Calibri" w:hAnsi="Calibri" w:cs="Calibri"/>
        </w:rPr>
        <w:t xml:space="preserve">également, </w:t>
      </w:r>
      <w:r w:rsidRPr="00326258">
        <w:rPr>
          <w:rFonts w:ascii="Calibri" w:hAnsi="Calibri" w:cs="Calibri"/>
        </w:rPr>
        <w:t>l’occasion d’initier la collecte de la documentation produite dans le cadre du projet.</w:t>
      </w:r>
      <w:r>
        <w:rPr>
          <w:rFonts w:ascii="Calibri" w:hAnsi="Calibri" w:cs="Calibri"/>
        </w:rPr>
        <w:tab/>
      </w:r>
    </w:p>
    <w:p w:rsidR="00B04D2C" w:rsidRDefault="00B04D2C" w:rsidP="00B04D2C">
      <w:pPr>
        <w:tabs>
          <w:tab w:val="left" w:pos="2707"/>
        </w:tabs>
        <w:autoSpaceDE w:val="0"/>
        <w:autoSpaceDN w:val="0"/>
        <w:adjustRightInd w:val="0"/>
        <w:spacing w:after="0" w:line="240" w:lineRule="auto"/>
        <w:jc w:val="both"/>
        <w:rPr>
          <w:rFonts w:ascii="Calibri" w:hAnsi="Calibri" w:cs="Calibri"/>
        </w:rPr>
      </w:pPr>
    </w:p>
    <w:p w:rsidR="00B04D2C" w:rsidRPr="00760D50" w:rsidRDefault="00760D50" w:rsidP="00B04D2C">
      <w:pPr>
        <w:tabs>
          <w:tab w:val="left" w:pos="2707"/>
        </w:tabs>
        <w:autoSpaceDE w:val="0"/>
        <w:autoSpaceDN w:val="0"/>
        <w:adjustRightInd w:val="0"/>
        <w:spacing w:after="0" w:line="240" w:lineRule="auto"/>
        <w:jc w:val="both"/>
        <w:rPr>
          <w:rFonts w:ascii="Calibri" w:hAnsi="Calibri" w:cs="Calibri"/>
          <w:b/>
        </w:rPr>
      </w:pPr>
      <w:r w:rsidRPr="00760D50">
        <w:rPr>
          <w:rFonts w:ascii="Calibri" w:hAnsi="Calibri" w:cs="Calibri"/>
          <w:b/>
        </w:rPr>
        <w:t xml:space="preserve">I.2.2.2 </w:t>
      </w:r>
      <w:r w:rsidR="00B04D2C" w:rsidRPr="00760D50">
        <w:rPr>
          <w:rFonts w:ascii="Calibri" w:hAnsi="Calibri" w:cs="Calibri"/>
          <w:b/>
        </w:rPr>
        <w:t xml:space="preserve">Étude documentaire </w:t>
      </w:r>
    </w:p>
    <w:p w:rsidR="00B04D2C" w:rsidRDefault="00B04D2C" w:rsidP="00B04D2C">
      <w:pPr>
        <w:tabs>
          <w:tab w:val="left" w:pos="2707"/>
        </w:tabs>
        <w:autoSpaceDE w:val="0"/>
        <w:autoSpaceDN w:val="0"/>
        <w:adjustRightInd w:val="0"/>
        <w:spacing w:after="0" w:line="240" w:lineRule="auto"/>
        <w:jc w:val="both"/>
        <w:rPr>
          <w:rFonts w:ascii="Calibri" w:hAnsi="Calibri" w:cs="Calibri"/>
        </w:rPr>
      </w:pPr>
      <w:r w:rsidRPr="00B04D2C">
        <w:rPr>
          <w:rFonts w:ascii="Calibri" w:hAnsi="Calibri" w:cs="Calibri"/>
        </w:rPr>
        <w:t xml:space="preserve">Cette étape de l’évaluation a concerné la collecte et l'analyse de l'ensemble de la documentation produite par le projet. Elle visait à situer le projet dans son contexte de développement en analysant sa conception pour faire ressortir la cohérence de ses objectifs par rapport aux priorités du Maroc et du FEM, notamment, en matière de </w:t>
      </w:r>
      <w:r>
        <w:rPr>
          <w:rFonts w:ascii="Calibri" w:hAnsi="Calibri" w:cs="Calibri"/>
        </w:rPr>
        <w:t>renforcement des capacités pour l’intégration de la gestion de l’environnement mondial dans la planification stratégique locale</w:t>
      </w:r>
      <w:r w:rsidRPr="00B04D2C">
        <w:rPr>
          <w:rFonts w:ascii="Calibri" w:hAnsi="Calibri" w:cs="Calibri"/>
        </w:rPr>
        <w:t>. La documentation</w:t>
      </w:r>
      <w:r w:rsidR="002D5125">
        <w:rPr>
          <w:rFonts w:ascii="Calibri" w:hAnsi="Calibri" w:cs="Calibri"/>
        </w:rPr>
        <w:t>,</w:t>
      </w:r>
      <w:r w:rsidRPr="00B04D2C">
        <w:rPr>
          <w:rFonts w:ascii="Calibri" w:hAnsi="Calibri" w:cs="Calibri"/>
        </w:rPr>
        <w:t xml:space="preserve"> ayant fait l’objet de cette revue est décrite en annexe du présent rapport [annexe 2 – </w:t>
      </w:r>
      <w:r w:rsidR="00E25ED6">
        <w:rPr>
          <w:rFonts w:ascii="Calibri" w:hAnsi="Calibri" w:cs="Calibri"/>
        </w:rPr>
        <w:t>Liste</w:t>
      </w:r>
      <w:r w:rsidRPr="00B04D2C">
        <w:rPr>
          <w:rFonts w:ascii="Calibri" w:hAnsi="Calibri" w:cs="Calibri"/>
        </w:rPr>
        <w:t xml:space="preserve"> de la documentation consultée].</w:t>
      </w:r>
    </w:p>
    <w:p w:rsidR="00C84500" w:rsidRDefault="00C84500" w:rsidP="00B04D2C">
      <w:pPr>
        <w:tabs>
          <w:tab w:val="left" w:pos="2707"/>
        </w:tabs>
        <w:autoSpaceDE w:val="0"/>
        <w:autoSpaceDN w:val="0"/>
        <w:adjustRightInd w:val="0"/>
        <w:spacing w:after="0" w:line="240" w:lineRule="auto"/>
        <w:jc w:val="both"/>
        <w:rPr>
          <w:rFonts w:ascii="Calibri" w:hAnsi="Calibri" w:cs="Calibri"/>
        </w:rPr>
      </w:pPr>
    </w:p>
    <w:p w:rsidR="00C84500" w:rsidRDefault="00C84500" w:rsidP="00B04D2C">
      <w:pPr>
        <w:tabs>
          <w:tab w:val="left" w:pos="2707"/>
        </w:tabs>
        <w:autoSpaceDE w:val="0"/>
        <w:autoSpaceDN w:val="0"/>
        <w:adjustRightInd w:val="0"/>
        <w:spacing w:after="0" w:line="240" w:lineRule="auto"/>
        <w:jc w:val="both"/>
        <w:rPr>
          <w:rFonts w:ascii="Calibri" w:hAnsi="Calibri" w:cs="Calibri"/>
        </w:rPr>
      </w:pPr>
    </w:p>
    <w:p w:rsidR="00B04D2C" w:rsidRDefault="00B04D2C" w:rsidP="00B04D2C">
      <w:pPr>
        <w:tabs>
          <w:tab w:val="left" w:pos="2707"/>
        </w:tabs>
        <w:autoSpaceDE w:val="0"/>
        <w:autoSpaceDN w:val="0"/>
        <w:adjustRightInd w:val="0"/>
        <w:spacing w:after="0" w:line="240" w:lineRule="auto"/>
        <w:jc w:val="both"/>
        <w:rPr>
          <w:rFonts w:ascii="Calibri" w:hAnsi="Calibri" w:cs="Calibri"/>
        </w:rPr>
      </w:pPr>
    </w:p>
    <w:p w:rsidR="00B04D2C" w:rsidRPr="00760D50" w:rsidRDefault="00760D50" w:rsidP="00B04D2C">
      <w:pPr>
        <w:tabs>
          <w:tab w:val="left" w:pos="2707"/>
        </w:tabs>
        <w:autoSpaceDE w:val="0"/>
        <w:autoSpaceDN w:val="0"/>
        <w:adjustRightInd w:val="0"/>
        <w:spacing w:after="0" w:line="240" w:lineRule="auto"/>
        <w:jc w:val="both"/>
        <w:rPr>
          <w:rFonts w:ascii="Calibri" w:hAnsi="Calibri" w:cs="Calibri"/>
          <w:b/>
        </w:rPr>
      </w:pPr>
      <w:r w:rsidRPr="00760D50">
        <w:rPr>
          <w:rFonts w:ascii="Calibri" w:hAnsi="Calibri" w:cs="Calibri"/>
          <w:b/>
        </w:rPr>
        <w:t xml:space="preserve">I.2.2.3 </w:t>
      </w:r>
      <w:r w:rsidR="00B04D2C" w:rsidRPr="00760D50">
        <w:rPr>
          <w:rFonts w:ascii="Calibri" w:hAnsi="Calibri" w:cs="Calibri"/>
          <w:b/>
        </w:rPr>
        <w:t>Entretiens avec les parties prenantes</w:t>
      </w:r>
    </w:p>
    <w:p w:rsidR="00B04D2C" w:rsidRPr="0019053E" w:rsidRDefault="00B04D2C" w:rsidP="00644781">
      <w:pPr>
        <w:autoSpaceDE w:val="0"/>
        <w:autoSpaceDN w:val="0"/>
        <w:adjustRightInd w:val="0"/>
        <w:spacing w:after="0" w:line="240" w:lineRule="auto"/>
        <w:jc w:val="both"/>
        <w:rPr>
          <w:rFonts w:ascii="Calibri" w:hAnsi="Calibri" w:cs="Calibri"/>
          <w:b/>
          <w:u w:val="single"/>
        </w:rPr>
      </w:pPr>
      <w:r w:rsidRPr="0019053E">
        <w:rPr>
          <w:rFonts w:ascii="Calibri" w:hAnsi="Calibri" w:cs="Calibri"/>
          <w:b/>
          <w:u w:val="single"/>
        </w:rPr>
        <w:t>Echantillonnage</w:t>
      </w:r>
    </w:p>
    <w:p w:rsidR="00B04D2C" w:rsidRDefault="00B04D2C" w:rsidP="00B04D2C">
      <w:pPr>
        <w:tabs>
          <w:tab w:val="left" w:pos="2707"/>
        </w:tabs>
        <w:autoSpaceDE w:val="0"/>
        <w:autoSpaceDN w:val="0"/>
        <w:adjustRightInd w:val="0"/>
        <w:spacing w:after="0" w:line="240" w:lineRule="auto"/>
        <w:jc w:val="both"/>
        <w:rPr>
          <w:rFonts w:ascii="Calibri" w:hAnsi="Calibri" w:cs="Calibri"/>
        </w:rPr>
      </w:pPr>
      <w:r w:rsidRPr="00B04D2C">
        <w:rPr>
          <w:rFonts w:ascii="Calibri" w:hAnsi="Calibri" w:cs="Calibri"/>
        </w:rPr>
        <w:t>Sur la base des échanges lors des réunions de briefing et de la revue préliminaire de la docume</w:t>
      </w:r>
      <w:r w:rsidR="004B167C">
        <w:rPr>
          <w:rFonts w:ascii="Calibri" w:hAnsi="Calibri" w:cs="Calibri"/>
        </w:rPr>
        <w:t>ntation du projet, l’évaluateur</w:t>
      </w:r>
      <w:r w:rsidRPr="00B04D2C">
        <w:rPr>
          <w:rFonts w:ascii="Calibri" w:hAnsi="Calibri" w:cs="Calibri"/>
        </w:rPr>
        <w:t xml:space="preserve"> a sélectionné les parties prenantes et les bénéficiaires à rencontrer ainsi que les sites à visiter [annexe 3 – Liste des parties prenantes et des sites]. L’échantillonnage a été soumis au PNUD </w:t>
      </w:r>
      <w:r w:rsidR="00E25ED6">
        <w:rPr>
          <w:rFonts w:ascii="Calibri" w:hAnsi="Calibri" w:cs="Calibri"/>
        </w:rPr>
        <w:t xml:space="preserve">et au MDCE </w:t>
      </w:r>
      <w:r w:rsidRPr="00B04D2C">
        <w:rPr>
          <w:rFonts w:ascii="Calibri" w:hAnsi="Calibri" w:cs="Calibri"/>
        </w:rPr>
        <w:t>qui l’</w:t>
      </w:r>
      <w:r w:rsidR="00E25ED6">
        <w:rPr>
          <w:rFonts w:ascii="Calibri" w:hAnsi="Calibri" w:cs="Calibri"/>
        </w:rPr>
        <w:t>ont</w:t>
      </w:r>
      <w:r w:rsidRPr="00B04D2C">
        <w:rPr>
          <w:rFonts w:ascii="Calibri" w:hAnsi="Calibri" w:cs="Calibri"/>
        </w:rPr>
        <w:t xml:space="preserve"> validé lors de la remise du livrable 1 de l’évaluation (Rapport Initial</w:t>
      </w:r>
      <w:r>
        <w:rPr>
          <w:rFonts w:ascii="Calibri" w:hAnsi="Calibri" w:cs="Calibri"/>
        </w:rPr>
        <w:t>)</w:t>
      </w:r>
      <w:r w:rsidRPr="00B04D2C">
        <w:rPr>
          <w:rFonts w:ascii="Calibri" w:hAnsi="Calibri" w:cs="Calibri"/>
        </w:rPr>
        <w:t>.</w:t>
      </w:r>
    </w:p>
    <w:p w:rsidR="00644781" w:rsidRPr="00B04D2C" w:rsidRDefault="00644781" w:rsidP="00B04D2C">
      <w:pPr>
        <w:tabs>
          <w:tab w:val="left" w:pos="2707"/>
        </w:tabs>
        <w:autoSpaceDE w:val="0"/>
        <w:autoSpaceDN w:val="0"/>
        <w:adjustRightInd w:val="0"/>
        <w:spacing w:after="0" w:line="240" w:lineRule="auto"/>
        <w:jc w:val="both"/>
        <w:rPr>
          <w:rFonts w:ascii="Calibri" w:hAnsi="Calibri" w:cs="Calibri"/>
        </w:rPr>
      </w:pPr>
      <w:r>
        <w:rPr>
          <w:rFonts w:ascii="Calibri" w:hAnsi="Calibri" w:cs="Calibri"/>
        </w:rPr>
        <w:t xml:space="preserve">L’unité de gestion du projet a pris en charge </w:t>
      </w:r>
      <w:r w:rsidR="004B167C">
        <w:rPr>
          <w:rFonts w:ascii="Calibri" w:hAnsi="Calibri" w:cs="Calibri"/>
        </w:rPr>
        <w:t xml:space="preserve">la prise de contacts officiels avec les </w:t>
      </w:r>
      <w:r>
        <w:rPr>
          <w:rFonts w:ascii="Calibri" w:hAnsi="Calibri" w:cs="Calibri"/>
        </w:rPr>
        <w:t>parties prenantes pour la tenue des entrevues avec l’évaluateur.</w:t>
      </w:r>
    </w:p>
    <w:p w:rsidR="00B04D2C" w:rsidRPr="0019053E" w:rsidRDefault="00B04D2C" w:rsidP="00644781">
      <w:pPr>
        <w:autoSpaceDE w:val="0"/>
        <w:autoSpaceDN w:val="0"/>
        <w:adjustRightInd w:val="0"/>
        <w:spacing w:after="0" w:line="240" w:lineRule="auto"/>
        <w:jc w:val="both"/>
        <w:rPr>
          <w:rFonts w:ascii="Calibri" w:hAnsi="Calibri" w:cs="Calibri"/>
          <w:b/>
          <w:u w:val="single"/>
        </w:rPr>
      </w:pPr>
      <w:r w:rsidRPr="0019053E">
        <w:rPr>
          <w:rFonts w:ascii="Calibri" w:hAnsi="Calibri" w:cs="Calibri"/>
          <w:b/>
          <w:u w:val="single"/>
        </w:rPr>
        <w:t>Questionnaire d’évaluation</w:t>
      </w:r>
    </w:p>
    <w:p w:rsidR="00B04D2C" w:rsidRPr="00B04D2C" w:rsidRDefault="00B04D2C" w:rsidP="00B04D2C">
      <w:pPr>
        <w:tabs>
          <w:tab w:val="left" w:pos="2707"/>
        </w:tabs>
        <w:autoSpaceDE w:val="0"/>
        <w:autoSpaceDN w:val="0"/>
        <w:adjustRightInd w:val="0"/>
        <w:spacing w:after="0" w:line="240" w:lineRule="auto"/>
        <w:jc w:val="both"/>
        <w:rPr>
          <w:rFonts w:ascii="Calibri" w:hAnsi="Calibri" w:cs="Calibri"/>
        </w:rPr>
      </w:pPr>
      <w:r w:rsidRPr="00B04D2C">
        <w:rPr>
          <w:rFonts w:ascii="Calibri" w:hAnsi="Calibri" w:cs="Calibri"/>
        </w:rPr>
        <w:t xml:space="preserve">Les objectifs de l’évaluation ont été traduits en questions d’évaluation suivant les critères utilisés pour évaluer les projets FEM-PNUD qui sont (i) la pertinence, (ii) l’efficacité, (iii) l’efficience, (iv) les résultats et (v) la durabilité. </w:t>
      </w:r>
      <w:r>
        <w:rPr>
          <w:rFonts w:ascii="Calibri" w:hAnsi="Calibri" w:cs="Calibri"/>
        </w:rPr>
        <w:t>Les</w:t>
      </w:r>
      <w:r w:rsidRPr="00B04D2C">
        <w:rPr>
          <w:rFonts w:ascii="Calibri" w:hAnsi="Calibri" w:cs="Calibri"/>
        </w:rPr>
        <w:t xml:space="preserve"> questions </w:t>
      </w:r>
      <w:r>
        <w:rPr>
          <w:rFonts w:ascii="Calibri" w:hAnsi="Calibri" w:cs="Calibri"/>
        </w:rPr>
        <w:t xml:space="preserve">principales </w:t>
      </w:r>
      <w:r w:rsidRPr="00B04D2C">
        <w:rPr>
          <w:rFonts w:ascii="Calibri" w:hAnsi="Calibri" w:cs="Calibri"/>
        </w:rPr>
        <w:t xml:space="preserve">ont été considérées et détaillées [annexe 4 – </w:t>
      </w:r>
      <w:r w:rsidR="005E04CA">
        <w:rPr>
          <w:rFonts w:ascii="Calibri" w:hAnsi="Calibri" w:cs="Calibri"/>
        </w:rPr>
        <w:t>tableau des q</w:t>
      </w:r>
      <w:r w:rsidRPr="00B04D2C">
        <w:rPr>
          <w:rFonts w:ascii="Calibri" w:hAnsi="Calibri" w:cs="Calibri"/>
        </w:rPr>
        <w:t>uestions de l’évaluation].</w:t>
      </w:r>
    </w:p>
    <w:p w:rsidR="00B04D2C" w:rsidRPr="0019053E" w:rsidRDefault="00B04D2C" w:rsidP="00644781">
      <w:pPr>
        <w:autoSpaceDE w:val="0"/>
        <w:autoSpaceDN w:val="0"/>
        <w:adjustRightInd w:val="0"/>
        <w:spacing w:after="0" w:line="240" w:lineRule="auto"/>
        <w:jc w:val="both"/>
        <w:rPr>
          <w:rFonts w:ascii="Calibri" w:hAnsi="Calibri" w:cs="Calibri"/>
          <w:b/>
          <w:u w:val="single"/>
        </w:rPr>
      </w:pPr>
      <w:r w:rsidRPr="0019053E">
        <w:rPr>
          <w:rFonts w:ascii="Calibri" w:hAnsi="Calibri" w:cs="Calibri"/>
          <w:b/>
          <w:u w:val="single"/>
        </w:rPr>
        <w:t>Calendrier des entretiens</w:t>
      </w:r>
    </w:p>
    <w:p w:rsidR="00B04D2C" w:rsidRPr="00B04D2C" w:rsidRDefault="00B04D2C" w:rsidP="00B04D2C">
      <w:pPr>
        <w:tabs>
          <w:tab w:val="left" w:pos="2707"/>
        </w:tabs>
        <w:autoSpaceDE w:val="0"/>
        <w:autoSpaceDN w:val="0"/>
        <w:adjustRightInd w:val="0"/>
        <w:spacing w:after="0" w:line="240" w:lineRule="auto"/>
        <w:jc w:val="both"/>
        <w:rPr>
          <w:rFonts w:ascii="Calibri" w:hAnsi="Calibri" w:cs="Calibri"/>
        </w:rPr>
      </w:pPr>
      <w:r w:rsidRPr="00B04D2C">
        <w:rPr>
          <w:rFonts w:ascii="Calibri" w:hAnsi="Calibri" w:cs="Calibri"/>
        </w:rPr>
        <w:t>Sur la base de l’échantillonnage, un calendrier prél</w:t>
      </w:r>
      <w:r w:rsidR="004B167C">
        <w:rPr>
          <w:rFonts w:ascii="Calibri" w:hAnsi="Calibri" w:cs="Calibri"/>
        </w:rPr>
        <w:t>iminaire a été établi pour réaliser</w:t>
      </w:r>
      <w:r w:rsidRPr="00B04D2C">
        <w:rPr>
          <w:rFonts w:ascii="Calibri" w:hAnsi="Calibri" w:cs="Calibri"/>
        </w:rPr>
        <w:t xml:space="preserve"> les entretiens avec les parties prenantes et les bénéficiaires. Ce calendrier a été réalisé avec suffisamment de souplesse pour pouvoir faire face aux éventuelles difficultés de dernière minute sur le terrain.</w:t>
      </w:r>
    </w:p>
    <w:p w:rsidR="00B04D2C" w:rsidRPr="0019053E" w:rsidRDefault="00B04D2C" w:rsidP="00644781">
      <w:pPr>
        <w:autoSpaceDE w:val="0"/>
        <w:autoSpaceDN w:val="0"/>
        <w:adjustRightInd w:val="0"/>
        <w:spacing w:after="0" w:line="240" w:lineRule="auto"/>
        <w:jc w:val="both"/>
        <w:rPr>
          <w:rFonts w:ascii="Calibri" w:hAnsi="Calibri" w:cs="Calibri"/>
          <w:b/>
          <w:u w:val="single"/>
        </w:rPr>
      </w:pPr>
      <w:r w:rsidRPr="0019053E">
        <w:rPr>
          <w:rFonts w:ascii="Calibri" w:hAnsi="Calibri" w:cs="Calibri"/>
          <w:b/>
          <w:u w:val="single"/>
        </w:rPr>
        <w:t xml:space="preserve">Rencontres </w:t>
      </w:r>
      <w:r w:rsidR="004B167C">
        <w:rPr>
          <w:rFonts w:ascii="Calibri" w:hAnsi="Calibri" w:cs="Calibri"/>
          <w:b/>
          <w:u w:val="single"/>
        </w:rPr>
        <w:t>avec les</w:t>
      </w:r>
      <w:r w:rsidRPr="0019053E">
        <w:rPr>
          <w:rFonts w:ascii="Calibri" w:hAnsi="Calibri" w:cs="Calibri"/>
          <w:b/>
          <w:u w:val="single"/>
        </w:rPr>
        <w:t xml:space="preserve"> parties prenantes et </w:t>
      </w:r>
      <w:r w:rsidR="004B167C">
        <w:rPr>
          <w:rFonts w:ascii="Calibri" w:hAnsi="Calibri" w:cs="Calibri"/>
          <w:b/>
          <w:u w:val="single"/>
        </w:rPr>
        <w:t xml:space="preserve">les </w:t>
      </w:r>
      <w:r w:rsidRPr="0019053E">
        <w:rPr>
          <w:rFonts w:ascii="Calibri" w:hAnsi="Calibri" w:cs="Calibri"/>
          <w:b/>
          <w:u w:val="single"/>
        </w:rPr>
        <w:t>bénéficiaires</w:t>
      </w:r>
    </w:p>
    <w:p w:rsidR="00B04D2C" w:rsidRDefault="00B04D2C" w:rsidP="00B04D2C">
      <w:pPr>
        <w:tabs>
          <w:tab w:val="left" w:pos="2707"/>
        </w:tabs>
        <w:autoSpaceDE w:val="0"/>
        <w:autoSpaceDN w:val="0"/>
        <w:adjustRightInd w:val="0"/>
        <w:spacing w:after="0" w:line="240" w:lineRule="auto"/>
        <w:jc w:val="both"/>
        <w:rPr>
          <w:rFonts w:ascii="Calibri" w:hAnsi="Calibri" w:cs="Calibri"/>
        </w:rPr>
      </w:pPr>
      <w:r w:rsidRPr="00B04D2C">
        <w:rPr>
          <w:rFonts w:ascii="Calibri" w:hAnsi="Calibri" w:cs="Calibri"/>
        </w:rPr>
        <w:t>Une série d’entretiens a été réalisée avec les parties prenantes et les bénéficiaires identifiés [</w:t>
      </w:r>
      <w:r w:rsidRPr="005E04CA">
        <w:rPr>
          <w:rFonts w:ascii="Calibri" w:hAnsi="Calibri" w:cs="Calibri"/>
        </w:rPr>
        <w:t>annexe</w:t>
      </w:r>
      <w:r w:rsidR="005E04CA">
        <w:rPr>
          <w:rFonts w:ascii="Calibri" w:hAnsi="Calibri" w:cs="Calibri"/>
        </w:rPr>
        <w:t>2</w:t>
      </w:r>
      <w:r w:rsidRPr="00B04D2C">
        <w:rPr>
          <w:rFonts w:ascii="Calibri" w:hAnsi="Calibri" w:cs="Calibri"/>
        </w:rPr>
        <w:t xml:space="preserve"> – Li</w:t>
      </w:r>
      <w:r w:rsidR="00644781">
        <w:rPr>
          <w:rFonts w:ascii="Calibri" w:hAnsi="Calibri" w:cs="Calibri"/>
        </w:rPr>
        <w:t>s</w:t>
      </w:r>
      <w:r w:rsidRPr="00B04D2C">
        <w:rPr>
          <w:rFonts w:ascii="Calibri" w:hAnsi="Calibri" w:cs="Calibri"/>
        </w:rPr>
        <w:t xml:space="preserve">tes des </w:t>
      </w:r>
      <w:r w:rsidR="005E04CA">
        <w:rPr>
          <w:rFonts w:ascii="Calibri" w:hAnsi="Calibri" w:cs="Calibri"/>
        </w:rPr>
        <w:t>personnes interrogées</w:t>
      </w:r>
      <w:r w:rsidRPr="00B04D2C">
        <w:rPr>
          <w:rFonts w:ascii="Calibri" w:hAnsi="Calibri" w:cs="Calibri"/>
        </w:rPr>
        <w:t>] aux</w:t>
      </w:r>
      <w:r w:rsidR="00644781">
        <w:rPr>
          <w:rFonts w:ascii="Calibri" w:hAnsi="Calibri" w:cs="Calibri"/>
        </w:rPr>
        <w:t xml:space="preserve"> niveaux institutionnel </w:t>
      </w:r>
      <w:r w:rsidRPr="00B04D2C">
        <w:rPr>
          <w:rFonts w:ascii="Calibri" w:hAnsi="Calibri" w:cs="Calibri"/>
        </w:rPr>
        <w:t>et opérationnel (</w:t>
      </w:r>
      <w:r w:rsidR="00E57AA8">
        <w:rPr>
          <w:rFonts w:ascii="Calibri" w:hAnsi="Calibri" w:cs="Calibri"/>
        </w:rPr>
        <w:t xml:space="preserve">DFCAT, DPE, </w:t>
      </w:r>
      <w:r w:rsidR="00644781">
        <w:rPr>
          <w:rFonts w:ascii="Calibri" w:hAnsi="Calibri" w:cs="Calibri"/>
        </w:rPr>
        <w:t>GREET, OREDD, Communes cibles, etc.</w:t>
      </w:r>
      <w:r w:rsidRPr="00B04D2C">
        <w:rPr>
          <w:rFonts w:ascii="Calibri" w:hAnsi="Calibri" w:cs="Calibri"/>
        </w:rPr>
        <w:t xml:space="preserve">). Les entretiens se sont déroulés </w:t>
      </w:r>
      <w:r w:rsidR="004B167C">
        <w:rPr>
          <w:rFonts w:ascii="Calibri" w:hAnsi="Calibri" w:cs="Calibri"/>
        </w:rPr>
        <w:t>entreavril et</w:t>
      </w:r>
      <w:r w:rsidR="00644781">
        <w:rPr>
          <w:rFonts w:ascii="Calibri" w:hAnsi="Calibri" w:cs="Calibri"/>
        </w:rPr>
        <w:t xml:space="preserve"> mai 2015</w:t>
      </w:r>
      <w:r w:rsidRPr="00B04D2C">
        <w:rPr>
          <w:rFonts w:ascii="Calibri" w:hAnsi="Calibri" w:cs="Calibri"/>
        </w:rPr>
        <w:t xml:space="preserve"> sous forme de 7 entretiens one-to-one et de 2 focus group [</w:t>
      </w:r>
      <w:r w:rsidRPr="005E04CA">
        <w:rPr>
          <w:rFonts w:ascii="Calibri" w:hAnsi="Calibri" w:cs="Calibri"/>
        </w:rPr>
        <w:t>annexe</w:t>
      </w:r>
      <w:r w:rsidR="005E04CA">
        <w:rPr>
          <w:rFonts w:ascii="Calibri" w:hAnsi="Calibri" w:cs="Calibri"/>
        </w:rPr>
        <w:t>6– Résumé des entretiens</w:t>
      </w:r>
      <w:r w:rsidRPr="00B04D2C">
        <w:rPr>
          <w:rFonts w:ascii="Calibri" w:hAnsi="Calibri" w:cs="Calibri"/>
        </w:rPr>
        <w:t xml:space="preserve">]. Il est à noter que certaines rencontres n’ont pas pu avoir lieu en raison de l’indisponibilité des personnes </w:t>
      </w:r>
      <w:r w:rsidR="004B167C">
        <w:rPr>
          <w:rFonts w:ascii="Calibri" w:hAnsi="Calibri" w:cs="Calibri"/>
        </w:rPr>
        <w:t>ciblées</w:t>
      </w:r>
      <w:r w:rsidR="00644781">
        <w:rPr>
          <w:rFonts w:ascii="Calibri" w:hAnsi="Calibri" w:cs="Calibri"/>
        </w:rPr>
        <w:t>, il s’agit notamment de la Coordination Nationale de l’INDH et de la DEA-DGCL</w:t>
      </w:r>
      <w:r w:rsidRPr="00B04D2C">
        <w:rPr>
          <w:rFonts w:ascii="Calibri" w:hAnsi="Calibri" w:cs="Calibri"/>
        </w:rPr>
        <w:t>.</w:t>
      </w:r>
      <w:r w:rsidR="00644781">
        <w:rPr>
          <w:rFonts w:ascii="Calibri" w:hAnsi="Calibri" w:cs="Calibri"/>
        </w:rPr>
        <w:t xml:space="preserve"> Considérant l’importance de ces deux parties dans la mise en œuvre du projet CB2 et leur implication dans l’atteinte des résultats escomptés, plusieurs relances ont été effectuées soit par l’évaluateur soit p</w:t>
      </w:r>
      <w:r w:rsidR="00E25ED6">
        <w:rPr>
          <w:rFonts w:ascii="Calibri" w:hAnsi="Calibri" w:cs="Calibri"/>
        </w:rPr>
        <w:t>ar l’Unité de gestion du projet, soit par le PNUD.</w:t>
      </w:r>
    </w:p>
    <w:p w:rsidR="00B04D2C" w:rsidRDefault="00B04D2C" w:rsidP="00B04D2C">
      <w:pPr>
        <w:tabs>
          <w:tab w:val="left" w:pos="2707"/>
        </w:tabs>
        <w:autoSpaceDE w:val="0"/>
        <w:autoSpaceDN w:val="0"/>
        <w:adjustRightInd w:val="0"/>
        <w:spacing w:after="0" w:line="240" w:lineRule="auto"/>
        <w:jc w:val="both"/>
        <w:rPr>
          <w:rFonts w:ascii="Calibri" w:hAnsi="Calibri" w:cs="Calibri"/>
        </w:rPr>
      </w:pPr>
    </w:p>
    <w:p w:rsidR="00B04D2C" w:rsidRPr="00760D50" w:rsidRDefault="00760D50" w:rsidP="00B04D2C">
      <w:pPr>
        <w:tabs>
          <w:tab w:val="left" w:pos="2707"/>
        </w:tabs>
        <w:autoSpaceDE w:val="0"/>
        <w:autoSpaceDN w:val="0"/>
        <w:adjustRightInd w:val="0"/>
        <w:spacing w:after="0" w:line="240" w:lineRule="auto"/>
        <w:jc w:val="both"/>
        <w:rPr>
          <w:rFonts w:ascii="Calibri" w:hAnsi="Calibri" w:cs="Calibri"/>
          <w:b/>
        </w:rPr>
      </w:pPr>
      <w:r w:rsidRPr="00760D50">
        <w:rPr>
          <w:rFonts w:ascii="Calibri" w:hAnsi="Calibri" w:cs="Calibri"/>
          <w:b/>
        </w:rPr>
        <w:t xml:space="preserve">I.2.2.4 </w:t>
      </w:r>
      <w:r w:rsidR="00374977" w:rsidRPr="00760D50">
        <w:rPr>
          <w:rFonts w:ascii="Calibri" w:hAnsi="Calibri" w:cs="Calibri"/>
          <w:b/>
        </w:rPr>
        <w:t>Visite des deux régions pilotes</w:t>
      </w:r>
    </w:p>
    <w:p w:rsidR="00374977" w:rsidRDefault="00374977" w:rsidP="00B04D2C">
      <w:pPr>
        <w:tabs>
          <w:tab w:val="left" w:pos="2707"/>
        </w:tabs>
        <w:autoSpaceDE w:val="0"/>
        <w:autoSpaceDN w:val="0"/>
        <w:adjustRightInd w:val="0"/>
        <w:spacing w:after="0" w:line="240" w:lineRule="auto"/>
        <w:jc w:val="both"/>
        <w:rPr>
          <w:rFonts w:ascii="Calibri" w:hAnsi="Calibri" w:cs="Calibri"/>
        </w:rPr>
      </w:pPr>
      <w:r w:rsidRPr="00374977">
        <w:rPr>
          <w:rFonts w:ascii="Calibri" w:hAnsi="Calibri" w:cs="Calibri"/>
        </w:rPr>
        <w:t>Les visites de</w:t>
      </w:r>
      <w:r>
        <w:rPr>
          <w:rFonts w:ascii="Calibri" w:hAnsi="Calibri" w:cs="Calibri"/>
        </w:rPr>
        <w:t>s deux régions pilotes</w:t>
      </w:r>
      <w:r w:rsidRPr="00374977">
        <w:rPr>
          <w:rFonts w:ascii="Calibri" w:hAnsi="Calibri" w:cs="Calibri"/>
        </w:rPr>
        <w:t xml:space="preserve"> ont été effectuées par l’évaluateur pour </w:t>
      </w:r>
      <w:r w:rsidR="00EF2F9D">
        <w:rPr>
          <w:rFonts w:ascii="Calibri" w:hAnsi="Calibri" w:cs="Calibri"/>
        </w:rPr>
        <w:t>évaluer les impacts</w:t>
      </w:r>
      <w:r w:rsidRPr="00374977">
        <w:rPr>
          <w:rFonts w:ascii="Calibri" w:hAnsi="Calibri" w:cs="Calibri"/>
        </w:rPr>
        <w:t>, recueillir et documenter toute inform</w:t>
      </w:r>
      <w:r>
        <w:rPr>
          <w:rFonts w:ascii="Calibri" w:hAnsi="Calibri" w:cs="Calibri"/>
        </w:rPr>
        <w:t>atio</w:t>
      </w:r>
      <w:r w:rsidR="00EF2F9D">
        <w:rPr>
          <w:rFonts w:ascii="Calibri" w:hAnsi="Calibri" w:cs="Calibri"/>
        </w:rPr>
        <w:t>n pertinente qui pourr</w:t>
      </w:r>
      <w:r>
        <w:rPr>
          <w:rFonts w:ascii="Calibri" w:hAnsi="Calibri" w:cs="Calibri"/>
        </w:rPr>
        <w:t>ai</w:t>
      </w:r>
      <w:r w:rsidRPr="00374977">
        <w:rPr>
          <w:rFonts w:ascii="Calibri" w:hAnsi="Calibri" w:cs="Calibri"/>
        </w:rPr>
        <w:t xml:space="preserve">t être utile à l’évaluation du projet. Ces visites ont été réalisées durant le mois de </w:t>
      </w:r>
      <w:r>
        <w:rPr>
          <w:rFonts w:ascii="Calibri" w:hAnsi="Calibri" w:cs="Calibri"/>
        </w:rPr>
        <w:t>mai 2015et ont coïncidé avec les ateliers de restitution des sessions de formation au niveau des régions de Tanger-Tétouan et Sous-Massa-Dr</w:t>
      </w:r>
      <w:r w:rsidR="00EF2F9D">
        <w:rPr>
          <w:rFonts w:ascii="Calibri" w:hAnsi="Calibri" w:cs="Calibri"/>
        </w:rPr>
        <w:t>a</w:t>
      </w:r>
      <w:r>
        <w:rPr>
          <w:rFonts w:ascii="Calibri" w:hAnsi="Calibri" w:cs="Calibri"/>
        </w:rPr>
        <w:t>a</w:t>
      </w:r>
      <w:r w:rsidRPr="00374977">
        <w:rPr>
          <w:rFonts w:ascii="Calibri" w:hAnsi="Calibri" w:cs="Calibri"/>
        </w:rPr>
        <w:t>.</w:t>
      </w:r>
      <w:r>
        <w:rPr>
          <w:rFonts w:ascii="Calibri" w:hAnsi="Calibri" w:cs="Calibri"/>
        </w:rPr>
        <w:t xml:space="preserve"> En marge de ces ateliers, 2 focus groupes ont pu être tenus avec les représentants des communes pilotes, ainsi qu’un certain nombre d’entretiens one-to-one avec les responsables des OREDD, les membres des GREET et d’autres parties prenantes (Association ADELMA-Tanger, ADP-Tiznit, etc.)</w:t>
      </w:r>
      <w:r w:rsidR="003B6ADB">
        <w:rPr>
          <w:rFonts w:ascii="Calibri" w:hAnsi="Calibri" w:cs="Calibri"/>
        </w:rPr>
        <w:t>.</w:t>
      </w:r>
    </w:p>
    <w:p w:rsidR="003B6ADB" w:rsidRDefault="003B6ADB" w:rsidP="003B6ADB">
      <w:pPr>
        <w:tabs>
          <w:tab w:val="left" w:pos="2707"/>
        </w:tabs>
        <w:autoSpaceDE w:val="0"/>
        <w:autoSpaceDN w:val="0"/>
        <w:adjustRightInd w:val="0"/>
        <w:spacing w:after="0" w:line="240" w:lineRule="auto"/>
        <w:jc w:val="both"/>
        <w:rPr>
          <w:rFonts w:ascii="Calibri" w:hAnsi="Calibri" w:cs="Calibri"/>
        </w:rPr>
      </w:pPr>
    </w:p>
    <w:p w:rsidR="003B6ADB" w:rsidRPr="003B6ADB" w:rsidRDefault="003B6ADB" w:rsidP="003B6ADB">
      <w:pPr>
        <w:tabs>
          <w:tab w:val="left" w:pos="2707"/>
        </w:tabs>
        <w:autoSpaceDE w:val="0"/>
        <w:autoSpaceDN w:val="0"/>
        <w:adjustRightInd w:val="0"/>
        <w:spacing w:after="0" w:line="240" w:lineRule="auto"/>
        <w:jc w:val="both"/>
        <w:rPr>
          <w:rFonts w:ascii="Calibri" w:hAnsi="Calibri" w:cs="Calibri"/>
        </w:rPr>
      </w:pPr>
      <w:r w:rsidRPr="003B6ADB">
        <w:rPr>
          <w:rFonts w:ascii="Calibri" w:hAnsi="Calibri" w:cs="Calibri"/>
          <w:b/>
          <w:i/>
        </w:rPr>
        <w:t>Le choix des deux régions</w:t>
      </w:r>
      <w:r w:rsidRPr="003B6ADB">
        <w:rPr>
          <w:rFonts w:ascii="Calibri" w:hAnsi="Calibri" w:cs="Calibri"/>
        </w:rPr>
        <w:t xml:space="preserve"> s’est porté sur Sous Massa-Draa et Tanger-Tétouan. Ce choix est justifié principalement par l’état d’avancement du projet CB2 dans ces régions qui traduisent les deux extrêmes. En effet, lors de la phase d’identification des régions qui piloteront le projet CB2, la liste de critères qui fut élaborée permettait de choisir les régions les mieux outillées, les plus dynamiques (cultures de concertation et de participation établie, risques faibles et ingrédients réunis pour déboucher sur un succès rapide, Bonne mobilisation et adhésion des acteurs, favorable à une action et des résultats rapides, etc.) et qui ont déjà lancé des actions en faveur de l’environnement. Le fait que l’état d’avancement du projet diffère entre les trois régions choisies sur la base de ces critères, pourrait révéler un gisement d’informations quant à la généralisation de la démarche à l’ensemble du territoire.</w:t>
      </w:r>
    </w:p>
    <w:p w:rsidR="003B6ADB" w:rsidRDefault="003B6ADB" w:rsidP="003B6ADB">
      <w:pPr>
        <w:tabs>
          <w:tab w:val="left" w:pos="2707"/>
        </w:tabs>
        <w:autoSpaceDE w:val="0"/>
        <w:autoSpaceDN w:val="0"/>
        <w:adjustRightInd w:val="0"/>
        <w:spacing w:after="0" w:line="240" w:lineRule="auto"/>
        <w:jc w:val="both"/>
        <w:rPr>
          <w:rFonts w:ascii="Calibri" w:hAnsi="Calibri" w:cs="Calibri"/>
        </w:rPr>
      </w:pPr>
      <w:r w:rsidRPr="003B6ADB">
        <w:rPr>
          <w:rFonts w:ascii="Calibri" w:hAnsi="Calibri" w:cs="Calibri"/>
        </w:rPr>
        <w:t>Aussi, ce</w:t>
      </w:r>
      <w:r>
        <w:rPr>
          <w:rFonts w:ascii="Calibri" w:hAnsi="Calibri" w:cs="Calibri"/>
        </w:rPr>
        <w:t xml:space="preserve"> choix </w:t>
      </w:r>
      <w:r w:rsidRPr="003B6ADB">
        <w:rPr>
          <w:rFonts w:ascii="Calibri" w:hAnsi="Calibri" w:cs="Calibri"/>
        </w:rPr>
        <w:t xml:space="preserve">(Sous Massa-Draa et Tanger-Tétouan) permettra de renseigner sur les meilleures leçons, les bonnes pratiques ; mais également sur les expériences de blocage, retard et difficultés de mise en œuvre. </w:t>
      </w:r>
    </w:p>
    <w:p w:rsidR="00374977" w:rsidRDefault="00374977" w:rsidP="00B04D2C">
      <w:pPr>
        <w:tabs>
          <w:tab w:val="left" w:pos="2707"/>
        </w:tabs>
        <w:autoSpaceDE w:val="0"/>
        <w:autoSpaceDN w:val="0"/>
        <w:adjustRightInd w:val="0"/>
        <w:spacing w:after="0" w:line="240" w:lineRule="auto"/>
        <w:jc w:val="both"/>
        <w:rPr>
          <w:rFonts w:ascii="Calibri" w:hAnsi="Calibri" w:cs="Calibri"/>
        </w:rPr>
      </w:pPr>
    </w:p>
    <w:p w:rsidR="00C84500" w:rsidRDefault="00C84500" w:rsidP="00B04D2C">
      <w:pPr>
        <w:tabs>
          <w:tab w:val="left" w:pos="2707"/>
        </w:tabs>
        <w:autoSpaceDE w:val="0"/>
        <w:autoSpaceDN w:val="0"/>
        <w:adjustRightInd w:val="0"/>
        <w:spacing w:after="0" w:line="240" w:lineRule="auto"/>
        <w:jc w:val="both"/>
        <w:rPr>
          <w:rFonts w:ascii="Calibri" w:hAnsi="Calibri" w:cs="Calibri"/>
        </w:rPr>
      </w:pPr>
    </w:p>
    <w:p w:rsidR="00374977" w:rsidRPr="00760D50" w:rsidRDefault="00760D50" w:rsidP="00B04D2C">
      <w:pPr>
        <w:tabs>
          <w:tab w:val="left" w:pos="2707"/>
        </w:tabs>
        <w:autoSpaceDE w:val="0"/>
        <w:autoSpaceDN w:val="0"/>
        <w:adjustRightInd w:val="0"/>
        <w:spacing w:after="0" w:line="240" w:lineRule="auto"/>
        <w:jc w:val="both"/>
        <w:rPr>
          <w:rFonts w:ascii="Calibri" w:hAnsi="Calibri" w:cs="Calibri"/>
          <w:b/>
        </w:rPr>
      </w:pPr>
      <w:r w:rsidRPr="00760D50">
        <w:rPr>
          <w:rFonts w:ascii="Calibri" w:hAnsi="Calibri" w:cs="Calibri"/>
          <w:b/>
        </w:rPr>
        <w:t xml:space="preserve">I.2.2.5 </w:t>
      </w:r>
      <w:r w:rsidR="00374977" w:rsidRPr="00760D50">
        <w:rPr>
          <w:rFonts w:ascii="Calibri" w:hAnsi="Calibri" w:cs="Calibri"/>
          <w:b/>
        </w:rPr>
        <w:t>Analyse et évaluation</w:t>
      </w:r>
    </w:p>
    <w:p w:rsidR="00374977" w:rsidRDefault="00374977" w:rsidP="00B04D2C">
      <w:pPr>
        <w:tabs>
          <w:tab w:val="left" w:pos="2707"/>
        </w:tabs>
        <w:autoSpaceDE w:val="0"/>
        <w:autoSpaceDN w:val="0"/>
        <w:adjustRightInd w:val="0"/>
        <w:spacing w:after="0" w:line="240" w:lineRule="auto"/>
        <w:jc w:val="both"/>
        <w:rPr>
          <w:rFonts w:ascii="Calibri" w:hAnsi="Calibri" w:cs="Calibri"/>
        </w:rPr>
      </w:pPr>
      <w:r w:rsidRPr="00374977">
        <w:rPr>
          <w:rFonts w:ascii="Calibri" w:hAnsi="Calibri" w:cs="Calibri"/>
        </w:rPr>
        <w:t xml:space="preserve">Cette étape s’est basée sur l'évaluation systématique de toutes les composantes du projet </w:t>
      </w:r>
      <w:r>
        <w:rPr>
          <w:rFonts w:ascii="Calibri" w:hAnsi="Calibri" w:cs="Calibri"/>
        </w:rPr>
        <w:t>CB2</w:t>
      </w:r>
      <w:r w:rsidRPr="00374977">
        <w:rPr>
          <w:rFonts w:ascii="Calibri" w:hAnsi="Calibri" w:cs="Calibri"/>
        </w:rPr>
        <w:t xml:space="preserve"> à travers l’examen des livrables des activités mises en œuvre au sein de chaque composante du projet. Les informations collectées auprès des parties prenantes et des bénéficiaires ont aussi été analysées en vue de développer un rapport d’évaluation provisoire </w:t>
      </w:r>
      <w:r w:rsidRPr="005D4497">
        <w:rPr>
          <w:rFonts w:ascii="Calibri" w:hAnsi="Calibri" w:cs="Calibri"/>
        </w:rPr>
        <w:t>puis une version finale.</w:t>
      </w:r>
    </w:p>
    <w:p w:rsidR="00374977" w:rsidRDefault="00374977" w:rsidP="00B04D2C">
      <w:pPr>
        <w:tabs>
          <w:tab w:val="left" w:pos="2707"/>
        </w:tabs>
        <w:autoSpaceDE w:val="0"/>
        <w:autoSpaceDN w:val="0"/>
        <w:adjustRightInd w:val="0"/>
        <w:spacing w:after="0" w:line="240" w:lineRule="auto"/>
        <w:jc w:val="both"/>
        <w:rPr>
          <w:rFonts w:ascii="Calibri" w:hAnsi="Calibri" w:cs="Calibri"/>
        </w:rPr>
      </w:pPr>
    </w:p>
    <w:p w:rsidR="002D5125" w:rsidRDefault="002D5125" w:rsidP="00B04D2C">
      <w:pPr>
        <w:tabs>
          <w:tab w:val="left" w:pos="2707"/>
        </w:tabs>
        <w:autoSpaceDE w:val="0"/>
        <w:autoSpaceDN w:val="0"/>
        <w:adjustRightInd w:val="0"/>
        <w:spacing w:after="0" w:line="240" w:lineRule="auto"/>
        <w:jc w:val="both"/>
        <w:rPr>
          <w:rFonts w:ascii="Calibri" w:hAnsi="Calibri" w:cs="Calibri"/>
          <w:b/>
        </w:rPr>
      </w:pPr>
      <w:r w:rsidRPr="002D5125">
        <w:rPr>
          <w:rFonts w:ascii="Calibri" w:hAnsi="Calibri" w:cs="Calibri"/>
          <w:b/>
        </w:rPr>
        <w:t>I.2.2.6 limitations de l’évaluation</w:t>
      </w:r>
    </w:p>
    <w:p w:rsidR="002D5125" w:rsidRDefault="001479D5" w:rsidP="00B04D2C">
      <w:pPr>
        <w:tabs>
          <w:tab w:val="left" w:pos="2707"/>
        </w:tabs>
        <w:autoSpaceDE w:val="0"/>
        <w:autoSpaceDN w:val="0"/>
        <w:adjustRightInd w:val="0"/>
        <w:spacing w:after="0" w:line="240" w:lineRule="auto"/>
        <w:jc w:val="both"/>
        <w:rPr>
          <w:rFonts w:ascii="Calibri" w:hAnsi="Calibri" w:cs="Calibri"/>
        </w:rPr>
      </w:pPr>
      <w:r>
        <w:rPr>
          <w:rFonts w:ascii="Calibri" w:hAnsi="Calibri" w:cs="Calibri"/>
        </w:rPr>
        <w:t>Sans Objet</w:t>
      </w:r>
    </w:p>
    <w:p w:rsidR="001479D5" w:rsidRDefault="001479D5" w:rsidP="00B04D2C">
      <w:pPr>
        <w:tabs>
          <w:tab w:val="left" w:pos="2707"/>
        </w:tabs>
        <w:autoSpaceDE w:val="0"/>
        <w:autoSpaceDN w:val="0"/>
        <w:adjustRightInd w:val="0"/>
        <w:spacing w:after="0" w:line="240" w:lineRule="auto"/>
        <w:jc w:val="both"/>
        <w:rPr>
          <w:rFonts w:ascii="Calibri" w:hAnsi="Calibri" w:cs="Calibri"/>
        </w:rPr>
      </w:pPr>
    </w:p>
    <w:p w:rsidR="001479D5" w:rsidRPr="001479D5" w:rsidRDefault="00CF3140" w:rsidP="00B04D2C">
      <w:pPr>
        <w:tabs>
          <w:tab w:val="left" w:pos="2707"/>
        </w:tabs>
        <w:autoSpaceDE w:val="0"/>
        <w:autoSpaceDN w:val="0"/>
        <w:adjustRightInd w:val="0"/>
        <w:spacing w:after="0" w:line="240" w:lineRule="auto"/>
        <w:jc w:val="both"/>
        <w:rPr>
          <w:rFonts w:ascii="Calibri" w:hAnsi="Calibri" w:cs="Calibri"/>
          <w:b/>
        </w:rPr>
      </w:pPr>
      <w:r>
        <w:rPr>
          <w:rFonts w:ascii="Calibri" w:hAnsi="Calibri" w:cs="Calibri"/>
          <w:b/>
        </w:rPr>
        <w:t xml:space="preserve">1.2.2.7 </w:t>
      </w:r>
      <w:r w:rsidR="001479D5" w:rsidRPr="001479D5">
        <w:rPr>
          <w:rFonts w:ascii="Calibri" w:hAnsi="Calibri" w:cs="Calibri"/>
          <w:b/>
        </w:rPr>
        <w:t>Qualité, intégrité et indépendance de l’évaluation</w:t>
      </w:r>
    </w:p>
    <w:p w:rsidR="00FB78FE" w:rsidRDefault="00FB78FE" w:rsidP="00FB78FE">
      <w:pPr>
        <w:tabs>
          <w:tab w:val="left" w:pos="2707"/>
        </w:tabs>
        <w:autoSpaceDE w:val="0"/>
        <w:autoSpaceDN w:val="0"/>
        <w:adjustRightInd w:val="0"/>
        <w:spacing w:after="0" w:line="240" w:lineRule="auto"/>
        <w:jc w:val="both"/>
        <w:rPr>
          <w:rFonts w:ascii="Calibri" w:hAnsi="Calibri" w:cs="Calibri"/>
        </w:rPr>
      </w:pPr>
      <w:r>
        <w:rPr>
          <w:rFonts w:ascii="Calibri" w:hAnsi="Calibri" w:cs="Calibri"/>
        </w:rPr>
        <w:t>Pour démontrer l’absence de biais dans la conduite de cette évaluation finale, du projet CB2, l’évaluateur a respecté les trois principes d’indépendance, d’impartialité et de transparence tels que définis dans le document ‘</w:t>
      </w:r>
      <w:r w:rsidRPr="003E22C7">
        <w:rPr>
          <w:rFonts w:ascii="Calibri" w:hAnsi="Calibri" w:cs="Calibri"/>
          <w:i/>
        </w:rPr>
        <w:t>’Ethical Guidelines</w:t>
      </w:r>
      <w:r>
        <w:rPr>
          <w:rFonts w:ascii="Calibri" w:hAnsi="Calibri" w:cs="Calibri"/>
        </w:rPr>
        <w:t xml:space="preserve">’’du </w:t>
      </w:r>
      <w:r w:rsidRPr="00FB78FE">
        <w:rPr>
          <w:rFonts w:ascii="Calibri" w:hAnsi="Calibri" w:cs="Calibri"/>
        </w:rPr>
        <w:t>GEF Evaluation Office</w:t>
      </w:r>
      <w:r>
        <w:rPr>
          <w:rFonts w:ascii="Calibri" w:hAnsi="Calibri" w:cs="Calibri"/>
        </w:rPr>
        <w:t xml:space="preserve"> édité en 2007.</w:t>
      </w:r>
    </w:p>
    <w:p w:rsidR="00FB78FE" w:rsidRDefault="00FB78FE" w:rsidP="00FB78FE">
      <w:pPr>
        <w:tabs>
          <w:tab w:val="left" w:pos="2707"/>
        </w:tabs>
        <w:autoSpaceDE w:val="0"/>
        <w:autoSpaceDN w:val="0"/>
        <w:adjustRightInd w:val="0"/>
        <w:spacing w:after="0" w:line="240" w:lineRule="auto"/>
        <w:jc w:val="both"/>
        <w:rPr>
          <w:rFonts w:ascii="Calibri" w:hAnsi="Calibri" w:cs="Calibri"/>
        </w:rPr>
      </w:pPr>
      <w:r>
        <w:rPr>
          <w:rFonts w:ascii="Calibri" w:hAnsi="Calibri" w:cs="Calibri"/>
        </w:rPr>
        <w:t xml:space="preserve">L’évaluateur qui n’a participé à aucune phase de l’élaboration, de la mise en œuvre et de la supervision du projet CB2, a développé une méthodologie (présentée ci-dessus) qui permet </w:t>
      </w:r>
      <w:r w:rsidR="005F081F">
        <w:rPr>
          <w:rFonts w:ascii="Calibri" w:hAnsi="Calibri" w:cs="Calibri"/>
        </w:rPr>
        <w:t>d’atteindre d</w:t>
      </w:r>
      <w:r w:rsidRPr="00FB78FE">
        <w:rPr>
          <w:rFonts w:ascii="Calibri" w:hAnsi="Calibri" w:cs="Calibri"/>
        </w:rPr>
        <w:t>es résultats et de</w:t>
      </w:r>
      <w:r w:rsidR="005F081F">
        <w:rPr>
          <w:rFonts w:ascii="Calibri" w:hAnsi="Calibri" w:cs="Calibri"/>
        </w:rPr>
        <w:t xml:space="preserve"> formuler des</w:t>
      </w:r>
      <w:r w:rsidRPr="00FB78FE">
        <w:rPr>
          <w:rFonts w:ascii="Calibri" w:hAnsi="Calibri" w:cs="Calibri"/>
        </w:rPr>
        <w:t xml:space="preserve"> recommandations vérifié</w:t>
      </w:r>
      <w:r w:rsidR="005F081F">
        <w:rPr>
          <w:rFonts w:ascii="Calibri" w:hAnsi="Calibri" w:cs="Calibri"/>
        </w:rPr>
        <w:t>s</w:t>
      </w:r>
      <w:r w:rsidRPr="00FB78FE">
        <w:rPr>
          <w:rFonts w:ascii="Calibri" w:hAnsi="Calibri" w:cs="Calibri"/>
        </w:rPr>
        <w:t>, et présenté</w:t>
      </w:r>
      <w:r w:rsidR="005F081F">
        <w:rPr>
          <w:rFonts w:ascii="Calibri" w:hAnsi="Calibri" w:cs="Calibri"/>
        </w:rPr>
        <w:t>s</w:t>
      </w:r>
      <w:r w:rsidRPr="00FB78FE">
        <w:rPr>
          <w:rFonts w:ascii="Calibri" w:hAnsi="Calibri" w:cs="Calibri"/>
        </w:rPr>
        <w:t xml:space="preserve"> de façon indépendante</w:t>
      </w:r>
      <w:r w:rsidR="005F081F">
        <w:rPr>
          <w:rFonts w:ascii="Calibri" w:hAnsi="Calibri" w:cs="Calibri"/>
        </w:rPr>
        <w:t>. Durant la conduite de l’évaluation finale du projet CB2, l’évaluateur n’a subi aucune pression de la part des parties prenantes.</w:t>
      </w:r>
    </w:p>
    <w:p w:rsidR="001479D5" w:rsidRDefault="005F081F" w:rsidP="00F607AA">
      <w:pPr>
        <w:tabs>
          <w:tab w:val="left" w:pos="2707"/>
        </w:tabs>
        <w:autoSpaceDE w:val="0"/>
        <w:autoSpaceDN w:val="0"/>
        <w:adjustRightInd w:val="0"/>
        <w:spacing w:after="0" w:line="240" w:lineRule="auto"/>
        <w:jc w:val="both"/>
        <w:rPr>
          <w:rFonts w:ascii="Calibri" w:hAnsi="Calibri" w:cs="Calibri"/>
        </w:rPr>
      </w:pPr>
      <w:r>
        <w:rPr>
          <w:rFonts w:ascii="Calibri" w:hAnsi="Calibri" w:cs="Calibri"/>
        </w:rPr>
        <w:t>Cette évaluation finale</w:t>
      </w:r>
      <w:r w:rsidRPr="005F081F">
        <w:rPr>
          <w:rFonts w:ascii="Calibri" w:hAnsi="Calibri" w:cs="Calibri"/>
        </w:rPr>
        <w:t xml:space="preserve"> donne une présentation globale et équilibrée des forces et des faiblesses</w:t>
      </w:r>
      <w:r>
        <w:rPr>
          <w:rFonts w:ascii="Calibri" w:hAnsi="Calibri" w:cs="Calibri"/>
        </w:rPr>
        <w:t xml:space="preserve"> du</w:t>
      </w:r>
      <w:r w:rsidRPr="005F081F">
        <w:rPr>
          <w:rFonts w:ascii="Calibri" w:hAnsi="Calibri" w:cs="Calibri"/>
        </w:rPr>
        <w:t xml:space="preserve"> projet </w:t>
      </w:r>
      <w:r>
        <w:rPr>
          <w:rFonts w:ascii="Calibri" w:hAnsi="Calibri" w:cs="Calibri"/>
        </w:rPr>
        <w:t>objet de l</w:t>
      </w:r>
      <w:r w:rsidRPr="005F081F">
        <w:rPr>
          <w:rFonts w:ascii="Calibri" w:hAnsi="Calibri" w:cs="Calibri"/>
        </w:rPr>
        <w:t>'évaluation</w:t>
      </w:r>
      <w:r>
        <w:rPr>
          <w:rFonts w:ascii="Calibri" w:hAnsi="Calibri" w:cs="Calibri"/>
        </w:rPr>
        <w:t xml:space="preserve">. L’impartialité a été assurée par la revue du rapport de l’évaluation finale </w:t>
      </w:r>
      <w:r w:rsidR="003E22C7">
        <w:rPr>
          <w:rFonts w:ascii="Calibri" w:hAnsi="Calibri" w:cs="Calibri"/>
        </w:rPr>
        <w:t>par le PNUD, le MDCE ainsi que le GEF.</w:t>
      </w:r>
    </w:p>
    <w:p w:rsidR="003E22C7" w:rsidRDefault="003E22C7" w:rsidP="00F607AA">
      <w:pPr>
        <w:tabs>
          <w:tab w:val="left" w:pos="2707"/>
        </w:tabs>
        <w:autoSpaceDE w:val="0"/>
        <w:autoSpaceDN w:val="0"/>
        <w:adjustRightInd w:val="0"/>
        <w:spacing w:after="0" w:line="240" w:lineRule="auto"/>
        <w:jc w:val="both"/>
        <w:rPr>
          <w:rFonts w:ascii="Calibri" w:hAnsi="Calibri" w:cs="Calibri"/>
        </w:rPr>
      </w:pPr>
      <w:r>
        <w:rPr>
          <w:rFonts w:ascii="Calibri" w:hAnsi="Calibri" w:cs="Calibri"/>
        </w:rPr>
        <w:t>La transparence du processus d’évaluation a été initiée dès l’élaboration de ses termes de références puisqu’ils ont été partagés et validés par toutes les parties prenantes. Les résultats de l’évaluation finale ont été présentés lors d’un atelier auquel ont participé toutes les parties prenantes et leurs commentaires ont été pris en compte dans l’élaboration de la version finale du rapport de l’évaluation.</w:t>
      </w:r>
    </w:p>
    <w:p w:rsidR="003E22C7" w:rsidRDefault="003E22C7" w:rsidP="00F607AA">
      <w:pPr>
        <w:tabs>
          <w:tab w:val="left" w:pos="2707"/>
        </w:tabs>
        <w:autoSpaceDE w:val="0"/>
        <w:autoSpaceDN w:val="0"/>
        <w:adjustRightInd w:val="0"/>
        <w:spacing w:after="0" w:line="240" w:lineRule="auto"/>
        <w:jc w:val="both"/>
        <w:rPr>
          <w:rFonts w:ascii="Calibri" w:hAnsi="Calibri" w:cs="Calibri"/>
        </w:rPr>
      </w:pPr>
      <w:r>
        <w:rPr>
          <w:rFonts w:ascii="Calibri" w:hAnsi="Calibri" w:cs="Calibri"/>
        </w:rPr>
        <w:t>Lors de l’évaluation finale du projet CB2, aucune demande de confidentialité n’a été formulée par les parties prenantes. Il en est de même du contenu des entretiens one to one et ceux des focus groupes.</w:t>
      </w:r>
    </w:p>
    <w:p w:rsidR="00AD1A5C" w:rsidRPr="00760D50" w:rsidRDefault="00760D50" w:rsidP="00760D50">
      <w:pPr>
        <w:pStyle w:val="Titre3"/>
        <w:rPr>
          <w:rFonts w:asciiTheme="minorHAnsi" w:hAnsiTheme="minorHAnsi" w:cs="ACaslonPro-Regular"/>
          <w:color w:val="auto"/>
        </w:rPr>
      </w:pPr>
      <w:bookmarkStart w:id="28" w:name="_Toc425414563"/>
      <w:r w:rsidRPr="00760D50">
        <w:rPr>
          <w:rFonts w:asciiTheme="minorHAnsi" w:hAnsiTheme="minorHAnsi" w:cs="ACaslonPro-Regular"/>
          <w:color w:val="auto"/>
        </w:rPr>
        <w:t xml:space="preserve">I.2.3 </w:t>
      </w:r>
      <w:r w:rsidR="00AD1A5C" w:rsidRPr="00760D50">
        <w:rPr>
          <w:rFonts w:asciiTheme="minorHAnsi" w:hAnsiTheme="minorHAnsi" w:cs="ACaslonPro-Regular"/>
          <w:color w:val="auto"/>
        </w:rPr>
        <w:t>Structure du rapport d’évaluation</w:t>
      </w:r>
      <w:bookmarkEnd w:id="28"/>
    </w:p>
    <w:p w:rsidR="009A1B2E" w:rsidRDefault="009A1B2E" w:rsidP="009A1B2E">
      <w:pPr>
        <w:autoSpaceDE w:val="0"/>
        <w:autoSpaceDN w:val="0"/>
        <w:adjustRightInd w:val="0"/>
        <w:spacing w:after="0" w:line="240" w:lineRule="auto"/>
        <w:jc w:val="both"/>
        <w:rPr>
          <w:rFonts w:cs="ACaslonPro-Regular"/>
        </w:rPr>
      </w:pPr>
      <w:r w:rsidRPr="009A1B2E">
        <w:rPr>
          <w:rFonts w:cs="ACaslonPro-Regular"/>
        </w:rPr>
        <w:t xml:space="preserve">Le rapport d'évaluation est structuré conformément aux exigences du FEM et selon les directives indiquées dans les termes de référence (TdR) [annexe </w:t>
      </w:r>
      <w:r w:rsidR="00890A1B">
        <w:rPr>
          <w:rFonts w:cs="ACaslonPro-Regular"/>
        </w:rPr>
        <w:t>1</w:t>
      </w:r>
      <w:r w:rsidRPr="009A1B2E">
        <w:rPr>
          <w:rFonts w:cs="ACaslonPro-Regular"/>
        </w:rPr>
        <w:t xml:space="preserve"> – TdR de l’évaluation]. Ainsi, il comporte 3 principaux chapitres en plus d’une partie résumé, introduction et des annexes. </w:t>
      </w:r>
    </w:p>
    <w:p w:rsidR="009A1B2E" w:rsidRPr="009A1B2E" w:rsidRDefault="009A1B2E" w:rsidP="009A1B2E">
      <w:pPr>
        <w:pStyle w:val="Paragraphedeliste"/>
        <w:numPr>
          <w:ilvl w:val="0"/>
          <w:numId w:val="3"/>
        </w:numPr>
        <w:autoSpaceDE w:val="0"/>
        <w:autoSpaceDN w:val="0"/>
        <w:adjustRightInd w:val="0"/>
        <w:spacing w:after="0" w:line="240" w:lineRule="auto"/>
        <w:jc w:val="both"/>
        <w:rPr>
          <w:rFonts w:cs="ACaslonPro-Regular"/>
        </w:rPr>
      </w:pPr>
      <w:r w:rsidRPr="009A1B2E">
        <w:rPr>
          <w:rFonts w:cs="ACaslonPro-Regular"/>
        </w:rPr>
        <w:t xml:space="preserve">Le chapitre I clarifie le but de l’évaluation finale, son champ d’action ainsi que la méthodologie utilisée. </w:t>
      </w:r>
    </w:p>
    <w:p w:rsidR="009A1B2E" w:rsidRPr="009A1B2E" w:rsidRDefault="009A1B2E" w:rsidP="009A1B2E">
      <w:pPr>
        <w:pStyle w:val="Paragraphedeliste"/>
        <w:numPr>
          <w:ilvl w:val="0"/>
          <w:numId w:val="3"/>
        </w:numPr>
        <w:autoSpaceDE w:val="0"/>
        <w:autoSpaceDN w:val="0"/>
        <w:adjustRightInd w:val="0"/>
        <w:spacing w:after="0" w:line="240" w:lineRule="auto"/>
        <w:jc w:val="both"/>
        <w:rPr>
          <w:rFonts w:cs="ACaslonPro-Regular"/>
        </w:rPr>
      </w:pPr>
      <w:r w:rsidRPr="009A1B2E">
        <w:rPr>
          <w:rFonts w:cs="ACaslonPro-Regular"/>
        </w:rPr>
        <w:t xml:space="preserve">Le chapitre II aborde le contexte de mise en œuvre du projet, ses objectifs, ses indicateurs, ses parties prenantes et ses résultats escomptés. </w:t>
      </w:r>
    </w:p>
    <w:p w:rsidR="00857395" w:rsidRPr="009A1B2E" w:rsidRDefault="009A1B2E" w:rsidP="009A1B2E">
      <w:pPr>
        <w:pStyle w:val="Paragraphedeliste"/>
        <w:numPr>
          <w:ilvl w:val="0"/>
          <w:numId w:val="3"/>
        </w:numPr>
        <w:autoSpaceDE w:val="0"/>
        <w:autoSpaceDN w:val="0"/>
        <w:adjustRightInd w:val="0"/>
        <w:spacing w:after="0" w:line="240" w:lineRule="auto"/>
        <w:jc w:val="both"/>
        <w:rPr>
          <w:rFonts w:cs="ACaslonPro-Regular"/>
        </w:rPr>
      </w:pPr>
      <w:r w:rsidRPr="009A1B2E">
        <w:rPr>
          <w:rFonts w:cs="ACaslonPro-Regular"/>
        </w:rPr>
        <w:t>Finalement, le chapitre III donne une conclusion de l’évaluation finale en revenant sur la conception et la formulation du projet, sa mise en œuvre et ses résultats. Ce chapitre dresse également un certain nombre d’enseignements et de recommandations.</w:t>
      </w:r>
    </w:p>
    <w:p w:rsidR="00760D50" w:rsidRDefault="00760D50" w:rsidP="00AD1A5C">
      <w:pPr>
        <w:autoSpaceDE w:val="0"/>
        <w:autoSpaceDN w:val="0"/>
        <w:adjustRightInd w:val="0"/>
        <w:spacing w:after="0" w:line="240" w:lineRule="auto"/>
        <w:rPr>
          <w:rFonts w:cs="ACaslonPro-Regular"/>
        </w:rPr>
      </w:pPr>
      <w:r>
        <w:rPr>
          <w:rFonts w:cs="ACaslonPro-Regular"/>
        </w:rPr>
        <w:br w:type="page"/>
      </w:r>
    </w:p>
    <w:p w:rsidR="00AD1A5C" w:rsidRPr="00760D50" w:rsidRDefault="00AD1A5C" w:rsidP="00760D50">
      <w:pPr>
        <w:pStyle w:val="Paragraphedeliste"/>
        <w:numPr>
          <w:ilvl w:val="0"/>
          <w:numId w:val="2"/>
        </w:numPr>
        <w:autoSpaceDE w:val="0"/>
        <w:autoSpaceDN w:val="0"/>
        <w:adjustRightInd w:val="0"/>
        <w:spacing w:after="0" w:line="240" w:lineRule="auto"/>
        <w:ind w:left="426" w:hanging="87"/>
        <w:outlineLvl w:val="0"/>
        <w:rPr>
          <w:rFonts w:cs="MyriadPro-Bold"/>
          <w:b/>
          <w:bCs/>
          <w:color w:val="000000"/>
        </w:rPr>
      </w:pPr>
      <w:bookmarkStart w:id="29" w:name="_Toc425414564"/>
      <w:r w:rsidRPr="00760D50">
        <w:rPr>
          <w:rFonts w:cs="MyriadPro-Bold"/>
          <w:b/>
          <w:bCs/>
          <w:color w:val="000000"/>
        </w:rPr>
        <w:lastRenderedPageBreak/>
        <w:t>Description et contexte de développement du projet</w:t>
      </w:r>
      <w:bookmarkEnd w:id="29"/>
    </w:p>
    <w:p w:rsidR="00760D50" w:rsidRDefault="00760D50" w:rsidP="00AD1A5C">
      <w:pPr>
        <w:autoSpaceDE w:val="0"/>
        <w:autoSpaceDN w:val="0"/>
        <w:adjustRightInd w:val="0"/>
        <w:spacing w:after="0" w:line="240" w:lineRule="auto"/>
        <w:rPr>
          <w:rFonts w:ascii="Calibri" w:hAnsi="Calibri" w:cs="Calibri"/>
          <w:color w:val="949699"/>
        </w:rPr>
      </w:pPr>
    </w:p>
    <w:p w:rsidR="00AD1A5C" w:rsidRPr="001A644C" w:rsidRDefault="001A644C" w:rsidP="001A644C">
      <w:pPr>
        <w:pStyle w:val="Titre2"/>
        <w:spacing w:before="0"/>
        <w:rPr>
          <w:rFonts w:asciiTheme="minorHAnsi" w:hAnsiTheme="minorHAnsi" w:cs="ACaslonPro-Regular"/>
          <w:color w:val="000000"/>
          <w:sz w:val="22"/>
          <w:szCs w:val="22"/>
        </w:rPr>
      </w:pPr>
      <w:bookmarkStart w:id="30" w:name="_Toc425414565"/>
      <w:r w:rsidRPr="001A644C">
        <w:rPr>
          <w:rFonts w:asciiTheme="minorHAnsi" w:hAnsiTheme="minorHAnsi" w:cs="ACaslonPro-Regular"/>
          <w:color w:val="000000"/>
          <w:sz w:val="22"/>
          <w:szCs w:val="22"/>
        </w:rPr>
        <w:t xml:space="preserve">II.1 </w:t>
      </w:r>
      <w:r w:rsidR="00AD1A5C" w:rsidRPr="001A644C">
        <w:rPr>
          <w:rFonts w:asciiTheme="minorHAnsi" w:hAnsiTheme="minorHAnsi" w:cs="ACaslonPro-Regular"/>
          <w:color w:val="000000"/>
          <w:sz w:val="22"/>
          <w:szCs w:val="22"/>
        </w:rPr>
        <w:t>Démarrage et durée du projet</w:t>
      </w:r>
      <w:bookmarkEnd w:id="30"/>
    </w:p>
    <w:p w:rsidR="00B9031A" w:rsidRDefault="00854769" w:rsidP="00CF114F">
      <w:pPr>
        <w:autoSpaceDE w:val="0"/>
        <w:autoSpaceDN w:val="0"/>
        <w:adjustRightInd w:val="0"/>
        <w:spacing w:after="0" w:line="240" w:lineRule="auto"/>
        <w:jc w:val="both"/>
        <w:rPr>
          <w:rFonts w:cs="ACaslonPro-Regular"/>
          <w:color w:val="000000"/>
        </w:rPr>
      </w:pPr>
      <w:r w:rsidRPr="00854769">
        <w:rPr>
          <w:rFonts w:cs="ACaslonPro-Regular"/>
          <w:color w:val="000000"/>
        </w:rPr>
        <w:t xml:space="preserve">La convention de </w:t>
      </w:r>
      <w:r w:rsidR="00B9031A">
        <w:rPr>
          <w:rFonts w:cs="ACaslonPro-Regular"/>
          <w:color w:val="000000"/>
        </w:rPr>
        <w:t xml:space="preserve">partenariat a été approuvée par le PNUD le 25 novembre 2011 et le démarrage du projet a eu lieu à partir du mois d’avril 2012 (date du recrutement de la coordinatrice nationale). La durée du projet est fixée à trois </w:t>
      </w:r>
      <w:r w:rsidR="00E06632">
        <w:rPr>
          <w:rFonts w:cs="ACaslonPro-Regular"/>
          <w:color w:val="000000"/>
        </w:rPr>
        <w:t>ans</w:t>
      </w:r>
      <w:r w:rsidR="00B9031A">
        <w:rPr>
          <w:rFonts w:cs="ACaslonPro-Regular"/>
          <w:color w:val="000000"/>
        </w:rPr>
        <w:t xml:space="preserve"> à partir de la date de la signature.Le document du projet préconise une phase initiale de trois mois qui a été respectée avec la tenue de l’atelier de démarrage le 05 juillet 2012.</w:t>
      </w:r>
    </w:p>
    <w:p w:rsidR="00B9031A" w:rsidRDefault="00B9031A" w:rsidP="00854769">
      <w:pPr>
        <w:autoSpaceDE w:val="0"/>
        <w:autoSpaceDN w:val="0"/>
        <w:adjustRightInd w:val="0"/>
        <w:spacing w:after="0" w:line="240" w:lineRule="auto"/>
        <w:rPr>
          <w:rFonts w:cs="ACaslonPro-Regular"/>
          <w:color w:val="000000"/>
        </w:rPr>
      </w:pPr>
    </w:p>
    <w:p w:rsidR="00CF114F" w:rsidRDefault="00854769" w:rsidP="00CF114F">
      <w:pPr>
        <w:autoSpaceDE w:val="0"/>
        <w:autoSpaceDN w:val="0"/>
        <w:adjustRightInd w:val="0"/>
        <w:spacing w:after="0" w:line="240" w:lineRule="auto"/>
        <w:jc w:val="both"/>
        <w:rPr>
          <w:rFonts w:cs="ACaslonPro-Regular"/>
          <w:color w:val="000000"/>
        </w:rPr>
      </w:pPr>
      <w:r w:rsidRPr="00854769">
        <w:rPr>
          <w:rFonts w:cs="ACaslonPro-Regular"/>
          <w:color w:val="000000"/>
        </w:rPr>
        <w:t xml:space="preserve">Le projet </w:t>
      </w:r>
      <w:r w:rsidR="00CF114F">
        <w:rPr>
          <w:rFonts w:cs="ACaslonPro-Regular"/>
          <w:color w:val="000000"/>
        </w:rPr>
        <w:t xml:space="preserve">CB2 </w:t>
      </w:r>
      <w:r w:rsidRPr="00854769">
        <w:rPr>
          <w:rFonts w:cs="ACaslonPro-Regular"/>
          <w:color w:val="000000"/>
        </w:rPr>
        <w:t>a été conçu pour être exécuté sur u</w:t>
      </w:r>
      <w:r w:rsidR="00CF114F">
        <w:rPr>
          <w:rFonts w:cs="ACaslonPro-Regular"/>
          <w:color w:val="000000"/>
        </w:rPr>
        <w:t>ne période de trois années (octobre 2009</w:t>
      </w:r>
      <w:r w:rsidRPr="00854769">
        <w:rPr>
          <w:rFonts w:cs="ACaslonPro-Regular"/>
          <w:color w:val="000000"/>
        </w:rPr>
        <w:t>-</w:t>
      </w:r>
      <w:r w:rsidR="00CF114F">
        <w:rPr>
          <w:rFonts w:cs="ACaslonPro-Regular"/>
          <w:color w:val="000000"/>
        </w:rPr>
        <w:t>octobre 2012</w:t>
      </w:r>
      <w:r w:rsidRPr="00854769">
        <w:rPr>
          <w:rFonts w:cs="ACaslonPro-Regular"/>
          <w:color w:val="000000"/>
        </w:rPr>
        <w:t>) conformément au Document de projet (ProDoc)</w:t>
      </w:r>
      <w:r w:rsidR="00CF114F">
        <w:rPr>
          <w:rFonts w:cs="ACaslonPro-Regular"/>
          <w:color w:val="000000"/>
        </w:rPr>
        <w:t xml:space="preserve"> et à la proposition de projet du FEM</w:t>
      </w:r>
      <w:r w:rsidRPr="00854769">
        <w:rPr>
          <w:rFonts w:cs="ACaslonPro-Regular"/>
          <w:color w:val="000000"/>
        </w:rPr>
        <w:t xml:space="preserve">. </w:t>
      </w:r>
      <w:r w:rsidR="00CF114F">
        <w:rPr>
          <w:rFonts w:cs="ACaslonPro-Regular"/>
          <w:color w:val="000000"/>
        </w:rPr>
        <w:t xml:space="preserve">La mobilisation des fonds additionnels du FEM ayant pris du retard, le projet n’a effectivement démarré qu’en avril 2012. </w:t>
      </w:r>
    </w:p>
    <w:p w:rsidR="00CF114F" w:rsidRDefault="00CF114F" w:rsidP="00854769">
      <w:pPr>
        <w:autoSpaceDE w:val="0"/>
        <w:autoSpaceDN w:val="0"/>
        <w:adjustRightInd w:val="0"/>
        <w:spacing w:after="0" w:line="240" w:lineRule="auto"/>
        <w:rPr>
          <w:rFonts w:cs="ACaslonPro-Regular"/>
          <w:color w:val="000000"/>
        </w:rPr>
      </w:pPr>
    </w:p>
    <w:p w:rsidR="00EC27A7" w:rsidRDefault="00EC27A7" w:rsidP="00854769">
      <w:pPr>
        <w:autoSpaceDE w:val="0"/>
        <w:autoSpaceDN w:val="0"/>
        <w:adjustRightInd w:val="0"/>
        <w:spacing w:after="0" w:line="240" w:lineRule="auto"/>
        <w:rPr>
          <w:rFonts w:cs="ACaslonPro-Regular"/>
          <w:color w:val="000000"/>
        </w:rPr>
      </w:pPr>
      <w:r>
        <w:rPr>
          <w:rFonts w:cs="ACaslonPro-Regular"/>
          <w:color w:val="000000"/>
        </w:rPr>
        <w:t>L</w:t>
      </w:r>
      <w:r w:rsidR="00854769" w:rsidRPr="00854769">
        <w:rPr>
          <w:rFonts w:cs="ACaslonPro-Regular"/>
          <w:color w:val="000000"/>
        </w:rPr>
        <w:t>e Comité de pilotage organe de décision et d’orientation mis en place dans le cadre de ce projet, a recommandé sa prolongation d</w:t>
      </w:r>
      <w:r>
        <w:rPr>
          <w:rFonts w:cs="ACaslonPro-Regular"/>
          <w:color w:val="000000"/>
        </w:rPr>
        <w:t xml:space="preserve">e trois mois </w:t>
      </w:r>
      <w:r w:rsidR="00854769" w:rsidRPr="00854769">
        <w:rPr>
          <w:rFonts w:cs="ACaslonPro-Regular"/>
          <w:color w:val="000000"/>
        </w:rPr>
        <w:t xml:space="preserve">pour que le projet atteigne ses objectifs. Il a, en effet, sollicité le FEM lors de sa réunion du </w:t>
      </w:r>
      <w:r>
        <w:rPr>
          <w:rFonts w:cs="ACaslonPro-Regular"/>
          <w:color w:val="000000"/>
        </w:rPr>
        <w:t>mois d’Avril</w:t>
      </w:r>
      <w:r w:rsidR="00854769" w:rsidRPr="00854769">
        <w:rPr>
          <w:rFonts w:cs="ACaslonPro-Regular"/>
          <w:color w:val="000000"/>
        </w:rPr>
        <w:t xml:space="preserve"> 201</w:t>
      </w:r>
      <w:r>
        <w:rPr>
          <w:rFonts w:cs="ACaslonPro-Regular"/>
          <w:color w:val="000000"/>
        </w:rPr>
        <w:t>5</w:t>
      </w:r>
      <w:r w:rsidR="00854769" w:rsidRPr="00854769">
        <w:rPr>
          <w:rFonts w:cs="ACaslonPro-Regular"/>
          <w:color w:val="000000"/>
        </w:rPr>
        <w:t xml:space="preserve">, pour la prolongation de la durée de mise en </w:t>
      </w:r>
      <w:r w:rsidRPr="00854769">
        <w:rPr>
          <w:rFonts w:cs="ACaslonPro-Regular"/>
          <w:color w:val="000000"/>
        </w:rPr>
        <w:t>œuvre</w:t>
      </w:r>
      <w:r w:rsidR="00854769" w:rsidRPr="00854769">
        <w:rPr>
          <w:rFonts w:cs="ACaslonPro-Regular"/>
          <w:color w:val="000000"/>
        </w:rPr>
        <w:t xml:space="preserve"> en vue de clôturer le projet en </w:t>
      </w:r>
      <w:r w:rsidR="008055AF">
        <w:rPr>
          <w:rFonts w:cs="ACaslonPro-Regular"/>
          <w:color w:val="000000"/>
        </w:rPr>
        <w:t>septembre</w:t>
      </w:r>
      <w:r w:rsidR="00854769" w:rsidRPr="00854769">
        <w:rPr>
          <w:rFonts w:cs="ACaslonPro-Regular"/>
          <w:color w:val="000000"/>
        </w:rPr>
        <w:t>201</w:t>
      </w:r>
      <w:r>
        <w:rPr>
          <w:rFonts w:cs="ACaslonPro-Regular"/>
          <w:color w:val="000000"/>
        </w:rPr>
        <w:t>5</w:t>
      </w:r>
      <w:r w:rsidR="00854769" w:rsidRPr="00854769">
        <w:rPr>
          <w:rFonts w:cs="ACaslonPro-Regular"/>
          <w:color w:val="000000"/>
        </w:rPr>
        <w:t xml:space="preserve">. </w:t>
      </w:r>
    </w:p>
    <w:p w:rsidR="00EC27A7" w:rsidRDefault="00EC27A7" w:rsidP="00854769">
      <w:pPr>
        <w:autoSpaceDE w:val="0"/>
        <w:autoSpaceDN w:val="0"/>
        <w:adjustRightInd w:val="0"/>
        <w:spacing w:after="0" w:line="240" w:lineRule="auto"/>
        <w:rPr>
          <w:rFonts w:cs="ACaslonPro-Regular"/>
          <w:color w:val="000000"/>
        </w:rPr>
      </w:pPr>
    </w:p>
    <w:p w:rsidR="00AD1A5C" w:rsidRPr="00EF2F9D" w:rsidRDefault="001A644C" w:rsidP="001A644C">
      <w:pPr>
        <w:pStyle w:val="Titre2"/>
        <w:spacing w:before="0"/>
        <w:rPr>
          <w:rFonts w:asciiTheme="minorHAnsi" w:hAnsiTheme="minorHAnsi" w:cs="ACaslonPro-Regular"/>
          <w:color w:val="auto"/>
          <w:sz w:val="22"/>
          <w:szCs w:val="22"/>
        </w:rPr>
      </w:pPr>
      <w:bookmarkStart w:id="31" w:name="_Toc425414566"/>
      <w:r w:rsidRPr="00EF2F9D">
        <w:rPr>
          <w:rFonts w:asciiTheme="minorHAnsi" w:hAnsiTheme="minorHAnsi" w:cs="Calibri"/>
          <w:color w:val="auto"/>
          <w:sz w:val="22"/>
          <w:szCs w:val="22"/>
        </w:rPr>
        <w:t xml:space="preserve">II.2 </w:t>
      </w:r>
      <w:r w:rsidR="00AD1A5C" w:rsidRPr="00EF2F9D">
        <w:rPr>
          <w:rFonts w:asciiTheme="minorHAnsi" w:hAnsiTheme="minorHAnsi" w:cs="ACaslonPro-Regular"/>
          <w:color w:val="auto"/>
          <w:sz w:val="22"/>
          <w:szCs w:val="22"/>
        </w:rPr>
        <w:t>Problèmes que le projet visait à régler</w:t>
      </w:r>
      <w:bookmarkEnd w:id="31"/>
    </w:p>
    <w:p w:rsidR="00CB3515" w:rsidRPr="00CB3515" w:rsidRDefault="00CB3515" w:rsidP="00CB3515">
      <w:pPr>
        <w:autoSpaceDE w:val="0"/>
        <w:autoSpaceDN w:val="0"/>
        <w:adjustRightInd w:val="0"/>
        <w:spacing w:after="0" w:line="240" w:lineRule="auto"/>
        <w:jc w:val="both"/>
        <w:rPr>
          <w:rFonts w:cs="ACaslonPro-Regular"/>
          <w:color w:val="000000"/>
        </w:rPr>
      </w:pPr>
      <w:r w:rsidRPr="00CB3515">
        <w:rPr>
          <w:rFonts w:cs="ACaslonPro-Regular"/>
          <w:color w:val="000000"/>
        </w:rPr>
        <w:t xml:space="preserve">En dépit des efforts déployés par le Maroc pour répondre aux engagements en matière d’environnement mondial, la traduction et la mise en œuvre de ces engagements au niveau local restent faibles, empêchant le gouvernement du Maroc de répondre adéquatement à ses engagements </w:t>
      </w:r>
      <w:r w:rsidR="00EF2F9D">
        <w:rPr>
          <w:rFonts w:cs="ACaslonPro-Regular"/>
          <w:color w:val="000000"/>
        </w:rPr>
        <w:t>de tenir pleinement compte des impératifs de préservation de l</w:t>
      </w:r>
      <w:r w:rsidRPr="00CB3515">
        <w:rPr>
          <w:rFonts w:cs="ACaslonPro-Regular"/>
          <w:color w:val="000000"/>
        </w:rPr>
        <w:t xml:space="preserve">’environnement mondial au niveau </w:t>
      </w:r>
      <w:r w:rsidR="00EF2F9D">
        <w:rPr>
          <w:rFonts w:cs="ACaslonPro-Regular"/>
          <w:color w:val="000000"/>
        </w:rPr>
        <w:t xml:space="preserve">de l’élaboration et de la mise en œuvre des politiques et stratégies de développement </w:t>
      </w:r>
      <w:r w:rsidRPr="00CB3515">
        <w:rPr>
          <w:rFonts w:cs="ACaslonPro-Regular"/>
          <w:color w:val="000000"/>
        </w:rPr>
        <w:t xml:space="preserve">local. La phase PDF-A </w:t>
      </w:r>
      <w:r>
        <w:rPr>
          <w:rFonts w:cs="ACaslonPro-Regular"/>
          <w:color w:val="000000"/>
        </w:rPr>
        <w:t>du projet CB2</w:t>
      </w:r>
      <w:r w:rsidR="00EF2F9D">
        <w:rPr>
          <w:rFonts w:cs="ACaslonPro-Regular"/>
          <w:color w:val="000000"/>
        </w:rPr>
        <w:t xml:space="preserve"> fait état d’</w:t>
      </w:r>
      <w:r w:rsidRPr="00CB3515">
        <w:rPr>
          <w:rFonts w:cs="ACaslonPro-Regular"/>
          <w:color w:val="000000"/>
        </w:rPr>
        <w:t>un</w:t>
      </w:r>
      <w:r w:rsidR="00EF2F9D">
        <w:rPr>
          <w:rFonts w:cs="ACaslonPro-Regular"/>
          <w:color w:val="000000"/>
        </w:rPr>
        <w:t>egrande expérience et d’un important</w:t>
      </w:r>
      <w:r w:rsidRPr="00CB3515">
        <w:rPr>
          <w:rFonts w:cs="ACaslonPro-Regular"/>
          <w:color w:val="000000"/>
        </w:rPr>
        <w:t xml:space="preserve"> savoir-faire dans la mise en œuvre des initiatives locales relatives à la gestion de l’environnement mondial, dont la plupart sont basées sur un processus local participatif de planification. Toutefois, ce processus n’inclut pas deux éléments clés :</w:t>
      </w:r>
    </w:p>
    <w:p w:rsidR="00CB3515" w:rsidRPr="00CB3515" w:rsidRDefault="00CB3515" w:rsidP="00CB3515">
      <w:pPr>
        <w:autoSpaceDE w:val="0"/>
        <w:autoSpaceDN w:val="0"/>
        <w:adjustRightInd w:val="0"/>
        <w:spacing w:after="0" w:line="240" w:lineRule="auto"/>
        <w:rPr>
          <w:rFonts w:cs="ACaslonPro-Regular"/>
          <w:color w:val="000000"/>
        </w:rPr>
      </w:pPr>
    </w:p>
    <w:p w:rsidR="00CB3515" w:rsidRPr="00CB3515" w:rsidRDefault="00CB3515" w:rsidP="00CB3515">
      <w:pPr>
        <w:pStyle w:val="Paragraphedeliste"/>
        <w:numPr>
          <w:ilvl w:val="0"/>
          <w:numId w:val="4"/>
        </w:numPr>
        <w:autoSpaceDE w:val="0"/>
        <w:autoSpaceDN w:val="0"/>
        <w:adjustRightInd w:val="0"/>
        <w:spacing w:after="0" w:line="240" w:lineRule="auto"/>
        <w:jc w:val="both"/>
        <w:rPr>
          <w:rFonts w:cs="ACaslonPro-Regular"/>
          <w:color w:val="000000"/>
        </w:rPr>
      </w:pPr>
      <w:r w:rsidRPr="00CB3515">
        <w:rPr>
          <w:rFonts w:cs="ACaslonPro-Regular"/>
          <w:color w:val="000000"/>
        </w:rPr>
        <w:t xml:space="preserve">la consolidation du processus de planification, du niveau local au niveau national, y compris les niveaux provincial et régional, ce qui entrave l’adoption de politiques </w:t>
      </w:r>
      <w:r w:rsidR="00EF2F9D">
        <w:rPr>
          <w:rFonts w:cs="ACaslonPro-Regular"/>
          <w:color w:val="000000"/>
        </w:rPr>
        <w:t xml:space="preserve">et </w:t>
      </w:r>
      <w:r w:rsidRPr="00CB3515">
        <w:rPr>
          <w:rFonts w:cs="ACaslonPro-Regular"/>
          <w:color w:val="000000"/>
        </w:rPr>
        <w:t>de décisions appropriées, basées sur la gestion intégrée de l’écosystème ;</w:t>
      </w:r>
    </w:p>
    <w:p w:rsidR="00CB3515" w:rsidRPr="00CB3515" w:rsidRDefault="00CB3515" w:rsidP="00CB3515">
      <w:pPr>
        <w:pStyle w:val="Paragraphedeliste"/>
        <w:numPr>
          <w:ilvl w:val="0"/>
          <w:numId w:val="4"/>
        </w:numPr>
        <w:autoSpaceDE w:val="0"/>
        <w:autoSpaceDN w:val="0"/>
        <w:adjustRightInd w:val="0"/>
        <w:spacing w:after="0" w:line="240" w:lineRule="auto"/>
        <w:jc w:val="both"/>
        <w:rPr>
          <w:rFonts w:cs="ACaslonPro-Regular"/>
          <w:color w:val="000000"/>
        </w:rPr>
      </w:pPr>
      <w:r w:rsidRPr="00CB3515">
        <w:rPr>
          <w:rFonts w:cs="ACaslonPro-Regular"/>
          <w:color w:val="000000"/>
        </w:rPr>
        <w:t xml:space="preserve">la mobilisation des ressources humaines et financières pour l’adoption d’approches méthodologiques de planification d’initiatives locales qui tiennent pleinement compte de la gestion des problèmes d’environnement mondial. </w:t>
      </w:r>
    </w:p>
    <w:p w:rsidR="00CB3515" w:rsidRPr="00CB3515" w:rsidRDefault="00CB3515" w:rsidP="00CB3515">
      <w:pPr>
        <w:autoSpaceDE w:val="0"/>
        <w:autoSpaceDN w:val="0"/>
        <w:adjustRightInd w:val="0"/>
        <w:spacing w:after="0" w:line="240" w:lineRule="auto"/>
        <w:rPr>
          <w:rFonts w:cs="ACaslonPro-Regular"/>
          <w:color w:val="000000"/>
        </w:rPr>
      </w:pPr>
    </w:p>
    <w:p w:rsidR="001A644C" w:rsidRDefault="00CB3515" w:rsidP="00CB3515">
      <w:pPr>
        <w:autoSpaceDE w:val="0"/>
        <w:autoSpaceDN w:val="0"/>
        <w:adjustRightInd w:val="0"/>
        <w:spacing w:after="0" w:line="240" w:lineRule="auto"/>
        <w:jc w:val="both"/>
        <w:rPr>
          <w:rFonts w:cs="ACaslonPro-Regular"/>
          <w:color w:val="000000"/>
        </w:rPr>
      </w:pPr>
      <w:r w:rsidRPr="00CB3515">
        <w:rPr>
          <w:rFonts w:cs="ACaslonPro-Regular"/>
          <w:color w:val="000000"/>
        </w:rPr>
        <w:t>Le niveau local semble le plus approprié actuellement, dans le contexte de l’INDH et de l’initiative de planification stratégique locale, qui sont conçues pour améliorer le développement local dans le cadre du processus général de décentralisation du pays. Par le biais de ces processus, les priorités de gestion environnementale mondiales peuvent être introduites comme partie intégrante de l’agenda du développement local et de la lutte contre la pauvreté qui est la première priorité de développement du Maroc. Le financement du FEM catalysera par conséquent les ressources existantes et les efforts à canaliser dans un cadre institutionnel adéquat pour la planification du développement qui sera propice à la gestion environnementale mondiale.</w:t>
      </w:r>
    </w:p>
    <w:p w:rsidR="00CB3515" w:rsidRPr="00AD1A5C" w:rsidRDefault="00CB3515" w:rsidP="00CB3515">
      <w:pPr>
        <w:autoSpaceDE w:val="0"/>
        <w:autoSpaceDN w:val="0"/>
        <w:adjustRightInd w:val="0"/>
        <w:spacing w:after="0" w:line="240" w:lineRule="auto"/>
        <w:jc w:val="both"/>
        <w:rPr>
          <w:rFonts w:cs="ACaslonPro-Regular"/>
          <w:color w:val="000000"/>
        </w:rPr>
      </w:pPr>
    </w:p>
    <w:p w:rsidR="00AD1A5C" w:rsidRPr="00CB3515" w:rsidRDefault="00CB3515" w:rsidP="00CB3515">
      <w:pPr>
        <w:pStyle w:val="Titre2"/>
        <w:spacing w:before="0"/>
        <w:rPr>
          <w:rFonts w:asciiTheme="minorHAnsi" w:hAnsiTheme="minorHAnsi" w:cs="ACaslonPro-Regular"/>
          <w:color w:val="000000"/>
          <w:sz w:val="22"/>
          <w:szCs w:val="22"/>
        </w:rPr>
      </w:pPr>
      <w:bookmarkStart w:id="32" w:name="_Toc425414567"/>
      <w:r w:rsidRPr="00CB3515">
        <w:rPr>
          <w:rFonts w:asciiTheme="minorHAnsi" w:hAnsiTheme="minorHAnsi" w:cs="ACaslonPro-Regular"/>
          <w:color w:val="000000"/>
          <w:sz w:val="22"/>
          <w:szCs w:val="22"/>
        </w:rPr>
        <w:t xml:space="preserve">II.3 </w:t>
      </w:r>
      <w:r w:rsidR="00AD1A5C" w:rsidRPr="00CB3515">
        <w:rPr>
          <w:rFonts w:asciiTheme="minorHAnsi" w:hAnsiTheme="minorHAnsi" w:cs="ACaslonPro-Regular"/>
          <w:color w:val="000000"/>
          <w:sz w:val="22"/>
          <w:szCs w:val="22"/>
        </w:rPr>
        <w:t>Objectifs immédiats et de développement du projet</w:t>
      </w:r>
      <w:bookmarkEnd w:id="32"/>
    </w:p>
    <w:p w:rsidR="00CB3515" w:rsidRDefault="00CB3515" w:rsidP="00CB3515">
      <w:pPr>
        <w:autoSpaceDE w:val="0"/>
        <w:autoSpaceDN w:val="0"/>
        <w:adjustRightInd w:val="0"/>
        <w:spacing w:after="0" w:line="240" w:lineRule="auto"/>
        <w:rPr>
          <w:rFonts w:cs="ACaslonPro-Regular"/>
          <w:color w:val="000000"/>
        </w:rPr>
      </w:pPr>
      <w:r w:rsidRPr="00CB3515">
        <w:rPr>
          <w:rFonts w:cs="ACaslonPro-Regular"/>
          <w:color w:val="000000"/>
        </w:rPr>
        <w:t>L’objectif du projet est d’intégrer les objectifs environnementaux mondiaux dans les programmes de l’INDH et dans la planification stratégique locale (PCD), ainsi que dans les processus de budgétisation et de suivi.</w:t>
      </w:r>
    </w:p>
    <w:p w:rsidR="00604D3A" w:rsidRDefault="00604D3A" w:rsidP="00CB3515">
      <w:pPr>
        <w:autoSpaceDE w:val="0"/>
        <w:autoSpaceDN w:val="0"/>
        <w:adjustRightInd w:val="0"/>
        <w:spacing w:after="0" w:line="240" w:lineRule="auto"/>
        <w:rPr>
          <w:rFonts w:cs="ACaslonPro-Regular"/>
          <w:color w:val="000000"/>
        </w:rPr>
      </w:pPr>
    </w:p>
    <w:p w:rsidR="006D3E91" w:rsidRDefault="006D3E91" w:rsidP="00AD1A5C">
      <w:pPr>
        <w:autoSpaceDE w:val="0"/>
        <w:autoSpaceDN w:val="0"/>
        <w:adjustRightInd w:val="0"/>
        <w:spacing w:after="0" w:line="240" w:lineRule="auto"/>
        <w:rPr>
          <w:rFonts w:cs="ACaslonPro-Regular"/>
          <w:color w:val="000000"/>
        </w:rPr>
      </w:pPr>
      <w:r>
        <w:rPr>
          <w:rFonts w:cs="ACaslonPro-Regular"/>
          <w:color w:val="000000"/>
        </w:rPr>
        <w:lastRenderedPageBreak/>
        <w:t xml:space="preserve">Les </w:t>
      </w:r>
      <w:r w:rsidR="00AF303D">
        <w:rPr>
          <w:rFonts w:cs="ACaslonPro-Regular"/>
          <w:color w:val="000000"/>
        </w:rPr>
        <w:t>résultats</w:t>
      </w:r>
      <w:r>
        <w:rPr>
          <w:rFonts w:cs="ACaslonPro-Regular"/>
          <w:color w:val="000000"/>
        </w:rPr>
        <w:t xml:space="preserve"> attendus du projet sont :</w:t>
      </w:r>
    </w:p>
    <w:p w:rsidR="00CB3515" w:rsidRPr="006D3E91" w:rsidRDefault="00CB3515" w:rsidP="006D3E91">
      <w:pPr>
        <w:pStyle w:val="Paragraphedeliste"/>
        <w:numPr>
          <w:ilvl w:val="0"/>
          <w:numId w:val="5"/>
        </w:numPr>
        <w:autoSpaceDE w:val="0"/>
        <w:autoSpaceDN w:val="0"/>
        <w:adjustRightInd w:val="0"/>
        <w:spacing w:after="0" w:line="240" w:lineRule="auto"/>
        <w:rPr>
          <w:rFonts w:cs="ACaslonPro-Regular"/>
          <w:color w:val="000000"/>
        </w:rPr>
      </w:pPr>
      <w:r w:rsidRPr="006D3E91">
        <w:rPr>
          <w:rFonts w:cs="ACaslonPro-Regular"/>
          <w:color w:val="000000"/>
        </w:rPr>
        <w:t>Le cadre institutionnel pour l’intégration de la gestion des problèmes d’environnement mondial dans les procédures de planification et de suivi de l’INDH et de planification stratégique locale est développé</w:t>
      </w:r>
    </w:p>
    <w:p w:rsidR="00CB3515" w:rsidRPr="006D3E91" w:rsidRDefault="006D3E91" w:rsidP="006D3E91">
      <w:pPr>
        <w:pStyle w:val="Paragraphedeliste"/>
        <w:numPr>
          <w:ilvl w:val="0"/>
          <w:numId w:val="5"/>
        </w:numPr>
        <w:autoSpaceDE w:val="0"/>
        <w:autoSpaceDN w:val="0"/>
        <w:adjustRightInd w:val="0"/>
        <w:spacing w:after="0" w:line="240" w:lineRule="auto"/>
        <w:rPr>
          <w:rFonts w:cs="ACaslonPro-Regular"/>
          <w:color w:val="000000"/>
        </w:rPr>
      </w:pPr>
      <w:r w:rsidRPr="006D3E91">
        <w:rPr>
          <w:rFonts w:cs="ACaslonPro-Regular"/>
          <w:color w:val="000000"/>
        </w:rPr>
        <w:t>Les capacités d’intégration systématique des cibles environnementales mondiales dans la planification locale sont renforcées</w:t>
      </w:r>
    </w:p>
    <w:p w:rsidR="00CB3515" w:rsidRPr="006D3E91" w:rsidRDefault="006D3E91" w:rsidP="006D3E91">
      <w:pPr>
        <w:pStyle w:val="Paragraphedeliste"/>
        <w:numPr>
          <w:ilvl w:val="0"/>
          <w:numId w:val="5"/>
        </w:numPr>
        <w:autoSpaceDE w:val="0"/>
        <w:autoSpaceDN w:val="0"/>
        <w:adjustRightInd w:val="0"/>
        <w:spacing w:after="0" w:line="240" w:lineRule="auto"/>
        <w:rPr>
          <w:rFonts w:cs="ACaslonPro-Regular"/>
          <w:color w:val="000000"/>
        </w:rPr>
      </w:pPr>
      <w:r w:rsidRPr="006D3E91">
        <w:rPr>
          <w:rFonts w:cs="ACaslonPro-Regular"/>
          <w:color w:val="000000"/>
        </w:rPr>
        <w:t>Un système de gestion adaptive et des leçons tirées du projet établi</w:t>
      </w:r>
    </w:p>
    <w:p w:rsidR="006D3E91" w:rsidRDefault="006D3E91" w:rsidP="00AD1A5C">
      <w:pPr>
        <w:autoSpaceDE w:val="0"/>
        <w:autoSpaceDN w:val="0"/>
        <w:adjustRightInd w:val="0"/>
        <w:spacing w:after="0" w:line="240" w:lineRule="auto"/>
        <w:rPr>
          <w:rFonts w:cs="ACaslonPro-Regular"/>
          <w:color w:val="000000"/>
        </w:rPr>
      </w:pPr>
    </w:p>
    <w:p w:rsidR="00AD1A5C" w:rsidRPr="006D3E91" w:rsidRDefault="006D3E91" w:rsidP="006D3E91">
      <w:pPr>
        <w:pStyle w:val="Titre2"/>
        <w:spacing w:before="0"/>
        <w:rPr>
          <w:rFonts w:asciiTheme="minorHAnsi" w:hAnsiTheme="minorHAnsi" w:cs="ACaslonPro-Regular"/>
          <w:color w:val="000000"/>
          <w:sz w:val="22"/>
          <w:szCs w:val="22"/>
        </w:rPr>
      </w:pPr>
      <w:bookmarkStart w:id="33" w:name="_Toc425414568"/>
      <w:r w:rsidRPr="006D3E91">
        <w:rPr>
          <w:rFonts w:asciiTheme="minorHAnsi" w:hAnsiTheme="minorHAnsi" w:cs="ACaslonPro-Regular"/>
          <w:color w:val="000000"/>
          <w:sz w:val="22"/>
          <w:szCs w:val="22"/>
        </w:rPr>
        <w:t xml:space="preserve">II.4 </w:t>
      </w:r>
      <w:r w:rsidR="00AD1A5C" w:rsidRPr="006D3E91">
        <w:rPr>
          <w:rFonts w:asciiTheme="minorHAnsi" w:hAnsiTheme="minorHAnsi" w:cs="ACaslonPro-Regular"/>
          <w:color w:val="000000"/>
          <w:sz w:val="22"/>
          <w:szCs w:val="22"/>
        </w:rPr>
        <w:t>Indicateurs de base mis en place</w:t>
      </w:r>
      <w:bookmarkEnd w:id="33"/>
    </w:p>
    <w:p w:rsidR="006D3E91" w:rsidRDefault="006C4989" w:rsidP="00AD1A5C">
      <w:pPr>
        <w:autoSpaceDE w:val="0"/>
        <w:autoSpaceDN w:val="0"/>
        <w:adjustRightInd w:val="0"/>
        <w:spacing w:after="0" w:line="240" w:lineRule="auto"/>
        <w:rPr>
          <w:rFonts w:cs="ACaslonPro-Regular"/>
          <w:color w:val="000000"/>
        </w:rPr>
      </w:pPr>
      <w:r w:rsidRPr="006C4989">
        <w:rPr>
          <w:rFonts w:cs="ACaslonPro-Regular"/>
          <w:color w:val="000000"/>
        </w:rPr>
        <w:t xml:space="preserve">Les indicateurs </w:t>
      </w:r>
      <w:r>
        <w:rPr>
          <w:rFonts w:cs="ACaslonPro-Regular"/>
          <w:color w:val="000000"/>
        </w:rPr>
        <w:t>permettant de mesurer chaque résultat du</w:t>
      </w:r>
      <w:r w:rsidRPr="006C4989">
        <w:rPr>
          <w:rFonts w:cs="ACaslonPro-Regular"/>
          <w:color w:val="000000"/>
        </w:rPr>
        <w:t xml:space="preserve"> projet sont :</w:t>
      </w:r>
    </w:p>
    <w:p w:rsidR="006C4989" w:rsidRDefault="006C4989" w:rsidP="00AD1A5C">
      <w:pPr>
        <w:autoSpaceDE w:val="0"/>
        <w:autoSpaceDN w:val="0"/>
        <w:adjustRightInd w:val="0"/>
        <w:spacing w:after="0" w:line="240" w:lineRule="auto"/>
        <w:rPr>
          <w:rFonts w:cs="ACaslonPro-Regular"/>
          <w:color w:val="00000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237"/>
      </w:tblGrid>
      <w:tr w:rsidR="008C7CD5" w:rsidRPr="005A0790" w:rsidTr="00604D3A">
        <w:tc>
          <w:tcPr>
            <w:tcW w:w="2943" w:type="dxa"/>
            <w:tcBorders>
              <w:top w:val="single" w:sz="4" w:space="0" w:color="auto"/>
              <w:left w:val="single" w:sz="4" w:space="0" w:color="auto"/>
              <w:bottom w:val="single" w:sz="4" w:space="0" w:color="auto"/>
              <w:right w:val="single" w:sz="4" w:space="0" w:color="auto"/>
            </w:tcBorders>
            <w:shd w:val="pct10" w:color="auto" w:fill="auto"/>
            <w:hideMark/>
          </w:tcPr>
          <w:p w:rsidR="008C7CD5" w:rsidRPr="008C7CD5" w:rsidRDefault="008C7CD5" w:rsidP="008C7CD5">
            <w:pPr>
              <w:spacing w:after="0" w:line="240" w:lineRule="auto"/>
              <w:jc w:val="center"/>
              <w:rPr>
                <w:rFonts w:eastAsia="Times New Roman" w:cs="Times New Roman"/>
                <w:b/>
                <w:bCs/>
                <w:sz w:val="18"/>
                <w:szCs w:val="18"/>
              </w:rPr>
            </w:pPr>
            <w:r w:rsidRPr="008C7CD5">
              <w:rPr>
                <w:rFonts w:eastAsia="Times New Roman" w:cs="Times New Roman"/>
                <w:b/>
                <w:bCs/>
                <w:sz w:val="18"/>
                <w:szCs w:val="18"/>
              </w:rPr>
              <w:t>Résultats</w:t>
            </w:r>
          </w:p>
        </w:tc>
        <w:tc>
          <w:tcPr>
            <w:tcW w:w="6237" w:type="dxa"/>
            <w:tcBorders>
              <w:top w:val="single" w:sz="4" w:space="0" w:color="auto"/>
              <w:left w:val="single" w:sz="4" w:space="0" w:color="auto"/>
              <w:bottom w:val="single" w:sz="4" w:space="0" w:color="auto"/>
              <w:right w:val="single" w:sz="4" w:space="0" w:color="auto"/>
            </w:tcBorders>
            <w:shd w:val="pct10" w:color="auto" w:fill="auto"/>
            <w:hideMark/>
          </w:tcPr>
          <w:p w:rsidR="008C7CD5" w:rsidRPr="008C7CD5" w:rsidRDefault="008C7CD5" w:rsidP="008C7CD5">
            <w:pPr>
              <w:spacing w:after="0" w:line="240" w:lineRule="auto"/>
              <w:jc w:val="center"/>
              <w:rPr>
                <w:rFonts w:eastAsia="Times New Roman" w:cs="Times New Roman"/>
                <w:b/>
                <w:bCs/>
                <w:sz w:val="18"/>
                <w:szCs w:val="18"/>
              </w:rPr>
            </w:pPr>
            <w:r w:rsidRPr="005A0790">
              <w:rPr>
                <w:rFonts w:eastAsia="Times New Roman" w:cs="Times New Roman"/>
                <w:b/>
                <w:bCs/>
                <w:sz w:val="18"/>
                <w:szCs w:val="18"/>
              </w:rPr>
              <w:t>Indicateurs</w:t>
            </w:r>
          </w:p>
        </w:tc>
      </w:tr>
      <w:tr w:rsidR="008C7CD5" w:rsidRPr="005A0790" w:rsidTr="00604D3A">
        <w:tc>
          <w:tcPr>
            <w:tcW w:w="2943" w:type="dxa"/>
            <w:tcBorders>
              <w:top w:val="single" w:sz="4" w:space="0" w:color="auto"/>
              <w:left w:val="single" w:sz="4" w:space="0" w:color="auto"/>
              <w:bottom w:val="single" w:sz="4" w:space="0" w:color="auto"/>
              <w:right w:val="single" w:sz="4" w:space="0" w:color="auto"/>
            </w:tcBorders>
          </w:tcPr>
          <w:p w:rsidR="008C7CD5" w:rsidRPr="008C7CD5" w:rsidRDefault="008C7CD5" w:rsidP="008C7CD5">
            <w:pPr>
              <w:spacing w:after="0" w:line="240" w:lineRule="auto"/>
              <w:jc w:val="both"/>
              <w:rPr>
                <w:rFonts w:eastAsia="Times New Roman" w:cs="Times New Roman"/>
                <w:b/>
                <w:bCs/>
                <w:sz w:val="18"/>
                <w:szCs w:val="18"/>
                <w:u w:val="single"/>
              </w:rPr>
            </w:pPr>
          </w:p>
          <w:p w:rsidR="008C7CD5" w:rsidRPr="005A0790" w:rsidRDefault="008C7CD5" w:rsidP="008C7CD5">
            <w:pPr>
              <w:spacing w:after="0" w:line="240" w:lineRule="auto"/>
              <w:jc w:val="both"/>
              <w:rPr>
                <w:rFonts w:eastAsia="Times New Roman" w:cs="Times New Roman"/>
                <w:b/>
                <w:bCs/>
                <w:sz w:val="18"/>
                <w:szCs w:val="18"/>
              </w:rPr>
            </w:pPr>
            <w:r w:rsidRPr="005A0790">
              <w:rPr>
                <w:rFonts w:eastAsia="Times New Roman" w:cs="Times New Roman"/>
                <w:b/>
                <w:bCs/>
                <w:sz w:val="18"/>
                <w:szCs w:val="18"/>
              </w:rPr>
              <w:t>Résultat 1.</w:t>
            </w:r>
          </w:p>
          <w:p w:rsidR="008C7CD5" w:rsidRPr="008C7CD5" w:rsidRDefault="008C7CD5" w:rsidP="008C7CD5">
            <w:pPr>
              <w:spacing w:after="0" w:line="240" w:lineRule="auto"/>
              <w:rPr>
                <w:rFonts w:eastAsia="Times New Roman" w:cs="Times New Roman"/>
                <w:sz w:val="18"/>
                <w:szCs w:val="18"/>
              </w:rPr>
            </w:pPr>
            <w:r w:rsidRPr="005A0790">
              <w:rPr>
                <w:rFonts w:eastAsia="Times New Roman" w:cs="Times New Roman"/>
                <w:b/>
                <w:bCs/>
                <w:sz w:val="18"/>
                <w:szCs w:val="18"/>
              </w:rPr>
              <w:t>Le cadre institutionnel pour l’intégration de la gestion de l’environnement mondial dans les programmes de l’INDH et dans la planification et le suivi des PCDs est développé.</w:t>
            </w:r>
          </w:p>
        </w:tc>
        <w:tc>
          <w:tcPr>
            <w:tcW w:w="6237" w:type="dxa"/>
            <w:tcBorders>
              <w:top w:val="single" w:sz="4" w:space="0" w:color="auto"/>
              <w:left w:val="single" w:sz="4" w:space="0" w:color="auto"/>
              <w:bottom w:val="single" w:sz="4" w:space="0" w:color="auto"/>
              <w:right w:val="single" w:sz="4" w:space="0" w:color="auto"/>
            </w:tcBorders>
          </w:tcPr>
          <w:p w:rsidR="008C7CD5" w:rsidRPr="005A0790" w:rsidRDefault="008C7CD5" w:rsidP="008C7CD5">
            <w:pPr>
              <w:spacing w:after="0" w:line="240" w:lineRule="auto"/>
              <w:rPr>
                <w:rFonts w:eastAsia="Times New Roman" w:cs="Times New Roman"/>
                <w:sz w:val="18"/>
                <w:szCs w:val="18"/>
              </w:rPr>
            </w:pPr>
            <w:r w:rsidRPr="005A0790">
              <w:rPr>
                <w:rFonts w:eastAsia="Times New Roman" w:cs="Times New Roman"/>
                <w:sz w:val="18"/>
                <w:szCs w:val="18"/>
              </w:rPr>
              <w:t>INDICATEUR 1</w:t>
            </w:r>
          </w:p>
          <w:p w:rsidR="008C7CD5" w:rsidRPr="005A0790" w:rsidRDefault="008C7CD5" w:rsidP="008C7CD5">
            <w:pPr>
              <w:spacing w:after="0" w:line="240" w:lineRule="auto"/>
              <w:rPr>
                <w:rFonts w:eastAsia="Times New Roman" w:cs="Times New Roman"/>
                <w:sz w:val="18"/>
                <w:szCs w:val="18"/>
              </w:rPr>
            </w:pPr>
            <w:r w:rsidRPr="005A0790">
              <w:rPr>
                <w:rFonts w:eastAsia="Times New Roman" w:cs="Times New Roman"/>
                <w:sz w:val="18"/>
                <w:szCs w:val="18"/>
              </w:rPr>
              <w:t>Nombre d’outils et de procédures pour l’intégration de l’environnement dans les processus des PCD et de l’INDH élaborés et adoptées.</w:t>
            </w:r>
          </w:p>
          <w:p w:rsidR="008C7CD5" w:rsidRPr="005A0790" w:rsidRDefault="008C7CD5" w:rsidP="008C7CD5">
            <w:pPr>
              <w:spacing w:after="0" w:line="240" w:lineRule="auto"/>
              <w:rPr>
                <w:rFonts w:eastAsia="Times New Roman" w:cs="Times New Roman"/>
                <w:sz w:val="18"/>
                <w:szCs w:val="18"/>
              </w:rPr>
            </w:pPr>
            <w:r w:rsidRPr="005A0790">
              <w:rPr>
                <w:rFonts w:eastAsia="Times New Roman" w:cs="Times New Roman"/>
                <w:sz w:val="18"/>
                <w:szCs w:val="18"/>
              </w:rPr>
              <w:t>INDICATEUR 2</w:t>
            </w:r>
          </w:p>
          <w:p w:rsidR="008C7CD5" w:rsidRPr="005A0790" w:rsidRDefault="008C7CD5" w:rsidP="008C7CD5">
            <w:pPr>
              <w:spacing w:after="0" w:line="240" w:lineRule="auto"/>
              <w:rPr>
                <w:rFonts w:eastAsia="Times New Roman" w:cs="Times New Roman"/>
                <w:sz w:val="18"/>
                <w:szCs w:val="18"/>
              </w:rPr>
            </w:pPr>
            <w:r w:rsidRPr="005A0790">
              <w:rPr>
                <w:rFonts w:eastAsia="Times New Roman" w:cs="Times New Roman"/>
                <w:sz w:val="18"/>
                <w:szCs w:val="18"/>
              </w:rPr>
              <w:t>Un mécanisme de coordination entre les institutions clés concernées par l’intégration de l’environnement mondial dans les PCD et l’INDH est établi.</w:t>
            </w:r>
          </w:p>
          <w:p w:rsidR="008C7CD5" w:rsidRPr="005A0790" w:rsidRDefault="008C7CD5" w:rsidP="008C7CD5">
            <w:pPr>
              <w:spacing w:after="0" w:line="240" w:lineRule="auto"/>
              <w:rPr>
                <w:rFonts w:eastAsia="Times New Roman" w:cs="Times New Roman"/>
                <w:sz w:val="18"/>
                <w:szCs w:val="18"/>
              </w:rPr>
            </w:pPr>
            <w:r w:rsidRPr="005A0790">
              <w:rPr>
                <w:rFonts w:eastAsia="Times New Roman" w:cs="Times New Roman"/>
                <w:sz w:val="18"/>
                <w:szCs w:val="18"/>
              </w:rPr>
              <w:t>INDICATEUR 3</w:t>
            </w:r>
          </w:p>
          <w:p w:rsidR="008C7CD5" w:rsidRPr="008C7CD5" w:rsidRDefault="008C7CD5" w:rsidP="008C7CD5">
            <w:pPr>
              <w:spacing w:after="0" w:line="240" w:lineRule="auto"/>
              <w:rPr>
                <w:rFonts w:eastAsia="Times New Roman" w:cs="Times New Roman"/>
                <w:sz w:val="18"/>
                <w:szCs w:val="18"/>
              </w:rPr>
            </w:pPr>
            <w:r w:rsidRPr="005A0790">
              <w:rPr>
                <w:rFonts w:eastAsia="Times New Roman" w:cs="Times New Roman"/>
                <w:sz w:val="18"/>
                <w:szCs w:val="18"/>
              </w:rPr>
              <w:t>Un système de suivi et une batterie d’indicateurs des avancées vers les cibles de l’environnement mondial (inclus les indicateurs budgétaires) sont établis pour les PCDs et les programmes de l’INDH.</w:t>
            </w:r>
          </w:p>
        </w:tc>
      </w:tr>
      <w:tr w:rsidR="008C7CD5" w:rsidRPr="005A0790" w:rsidTr="00604D3A">
        <w:tc>
          <w:tcPr>
            <w:tcW w:w="2943" w:type="dxa"/>
            <w:tcBorders>
              <w:top w:val="single" w:sz="4" w:space="0" w:color="auto"/>
              <w:left w:val="single" w:sz="4" w:space="0" w:color="auto"/>
              <w:bottom w:val="single" w:sz="4" w:space="0" w:color="auto"/>
              <w:right w:val="single" w:sz="4" w:space="0" w:color="auto"/>
            </w:tcBorders>
          </w:tcPr>
          <w:p w:rsidR="008C7CD5" w:rsidRPr="005A0790" w:rsidRDefault="008C7CD5" w:rsidP="008C7CD5">
            <w:pPr>
              <w:spacing w:after="0" w:line="240" w:lineRule="auto"/>
              <w:jc w:val="both"/>
              <w:rPr>
                <w:rFonts w:eastAsia="Times New Roman" w:cs="Times New Roman"/>
                <w:b/>
                <w:bCs/>
                <w:sz w:val="18"/>
                <w:szCs w:val="18"/>
              </w:rPr>
            </w:pPr>
            <w:r w:rsidRPr="005A0790">
              <w:rPr>
                <w:rFonts w:eastAsia="Times New Roman" w:cs="Times New Roman"/>
                <w:b/>
                <w:bCs/>
                <w:sz w:val="18"/>
                <w:szCs w:val="18"/>
              </w:rPr>
              <w:t>Résultat 2.</w:t>
            </w:r>
          </w:p>
          <w:p w:rsidR="008C7CD5" w:rsidRPr="005A0790" w:rsidRDefault="008C7CD5" w:rsidP="008C7CD5">
            <w:pPr>
              <w:spacing w:after="0" w:line="240" w:lineRule="auto"/>
              <w:jc w:val="both"/>
              <w:rPr>
                <w:rFonts w:eastAsia="Times New Roman" w:cs="Times New Roman"/>
                <w:b/>
                <w:bCs/>
                <w:sz w:val="18"/>
                <w:szCs w:val="18"/>
                <w:u w:val="single"/>
              </w:rPr>
            </w:pPr>
            <w:r w:rsidRPr="005A0790">
              <w:rPr>
                <w:rFonts w:eastAsia="Times New Roman" w:cs="Times New Roman"/>
                <w:b/>
                <w:bCs/>
                <w:sz w:val="18"/>
                <w:szCs w:val="18"/>
              </w:rPr>
              <w:t xml:space="preserve">Les capacités pour l’intégration systématique des cibles environnementales mondiales dans la planification </w:t>
            </w:r>
            <w:r w:rsidR="00E57AA8">
              <w:rPr>
                <w:rFonts w:eastAsia="Times New Roman" w:cs="Times New Roman"/>
                <w:b/>
                <w:bCs/>
                <w:sz w:val="18"/>
                <w:szCs w:val="18"/>
              </w:rPr>
              <w:t xml:space="preserve">stratégique </w:t>
            </w:r>
            <w:r w:rsidRPr="005A0790">
              <w:rPr>
                <w:rFonts w:eastAsia="Times New Roman" w:cs="Times New Roman"/>
                <w:b/>
                <w:bCs/>
                <w:sz w:val="18"/>
                <w:szCs w:val="18"/>
              </w:rPr>
              <w:t>locale sont renforcées.</w:t>
            </w:r>
          </w:p>
        </w:tc>
        <w:tc>
          <w:tcPr>
            <w:tcW w:w="6237" w:type="dxa"/>
            <w:tcBorders>
              <w:top w:val="single" w:sz="4" w:space="0" w:color="auto"/>
              <w:left w:val="single" w:sz="4" w:space="0" w:color="auto"/>
              <w:bottom w:val="single" w:sz="4" w:space="0" w:color="auto"/>
              <w:right w:val="single" w:sz="4" w:space="0" w:color="auto"/>
            </w:tcBorders>
          </w:tcPr>
          <w:p w:rsidR="008C7CD5" w:rsidRPr="005A0790" w:rsidRDefault="008C7CD5" w:rsidP="008C7CD5">
            <w:pPr>
              <w:spacing w:after="0" w:line="240" w:lineRule="auto"/>
              <w:rPr>
                <w:rFonts w:eastAsia="Times New Roman" w:cs="Times New Roman"/>
                <w:sz w:val="18"/>
                <w:szCs w:val="18"/>
              </w:rPr>
            </w:pPr>
            <w:r w:rsidRPr="005A0790">
              <w:rPr>
                <w:rFonts w:eastAsia="Times New Roman" w:cs="Times New Roman"/>
                <w:sz w:val="18"/>
                <w:szCs w:val="18"/>
              </w:rPr>
              <w:t>INDICATEUR 1</w:t>
            </w:r>
          </w:p>
          <w:p w:rsidR="008C7CD5" w:rsidRPr="005A0790" w:rsidRDefault="008C7CD5" w:rsidP="008C7CD5">
            <w:pPr>
              <w:spacing w:after="0" w:line="240" w:lineRule="auto"/>
              <w:rPr>
                <w:rFonts w:eastAsia="Times New Roman" w:cs="Times New Roman"/>
                <w:sz w:val="18"/>
                <w:szCs w:val="18"/>
              </w:rPr>
            </w:pPr>
            <w:r w:rsidRPr="005A0790">
              <w:rPr>
                <w:rFonts w:eastAsia="Times New Roman" w:cs="Times New Roman"/>
                <w:sz w:val="18"/>
                <w:szCs w:val="18"/>
              </w:rPr>
              <w:t>Nombre d’acteurs clés en charge de l’INDH et des PCD qui disposent des capacités pour l’intégration des priorités de l’environnement mondial.</w:t>
            </w:r>
          </w:p>
          <w:p w:rsidR="008C7CD5" w:rsidRPr="005A0790" w:rsidRDefault="008C7CD5" w:rsidP="008C7CD5">
            <w:pPr>
              <w:spacing w:after="0" w:line="240" w:lineRule="auto"/>
              <w:rPr>
                <w:rFonts w:eastAsia="Times New Roman" w:cs="Times New Roman"/>
                <w:sz w:val="18"/>
                <w:szCs w:val="18"/>
              </w:rPr>
            </w:pPr>
            <w:r w:rsidRPr="005A0790">
              <w:rPr>
                <w:rFonts w:eastAsia="Times New Roman" w:cs="Times New Roman"/>
                <w:sz w:val="18"/>
                <w:szCs w:val="18"/>
              </w:rPr>
              <w:t>INDICATEUR 2</w:t>
            </w:r>
          </w:p>
          <w:p w:rsidR="008C7CD5" w:rsidRPr="005A0790" w:rsidRDefault="008C7CD5" w:rsidP="008C7CD5">
            <w:pPr>
              <w:spacing w:after="0" w:line="240" w:lineRule="auto"/>
              <w:rPr>
                <w:rFonts w:eastAsia="Times New Roman" w:cs="Times New Roman"/>
                <w:sz w:val="18"/>
                <w:szCs w:val="18"/>
              </w:rPr>
            </w:pPr>
            <w:r w:rsidRPr="005A0790">
              <w:rPr>
                <w:rFonts w:eastAsia="Times New Roman" w:cs="Times New Roman"/>
                <w:sz w:val="18"/>
                <w:szCs w:val="18"/>
              </w:rPr>
              <w:t>Degré d’intégration des priorités de la gestion environnementale mondiale dans l’INDH et les PCD.</w:t>
            </w:r>
          </w:p>
          <w:p w:rsidR="008C7CD5" w:rsidRPr="005A0790" w:rsidRDefault="008C7CD5" w:rsidP="008C7CD5">
            <w:pPr>
              <w:spacing w:after="0" w:line="240" w:lineRule="auto"/>
              <w:rPr>
                <w:rFonts w:eastAsia="Times New Roman" w:cs="Times New Roman"/>
                <w:sz w:val="18"/>
                <w:szCs w:val="18"/>
              </w:rPr>
            </w:pPr>
            <w:r w:rsidRPr="005A0790">
              <w:rPr>
                <w:rFonts w:eastAsia="Times New Roman" w:cs="Times New Roman"/>
                <w:sz w:val="18"/>
                <w:szCs w:val="18"/>
              </w:rPr>
              <w:t>INDICATEUR 3</w:t>
            </w:r>
          </w:p>
          <w:p w:rsidR="008C7CD5" w:rsidRPr="005A0790" w:rsidRDefault="008C7CD5" w:rsidP="008C7CD5">
            <w:pPr>
              <w:spacing w:after="0" w:line="240" w:lineRule="auto"/>
              <w:rPr>
                <w:rFonts w:eastAsia="Times New Roman" w:cs="Times New Roman"/>
                <w:sz w:val="18"/>
                <w:szCs w:val="18"/>
              </w:rPr>
            </w:pPr>
            <w:r w:rsidRPr="005A0790">
              <w:rPr>
                <w:rFonts w:eastAsia="Times New Roman" w:cs="Times New Roman"/>
                <w:sz w:val="18"/>
                <w:szCs w:val="18"/>
              </w:rPr>
              <w:t>Taux d’augmentation du budget affecté aux actions environnementales dans le cadre de l’INDH et des PCDs.</w:t>
            </w:r>
          </w:p>
          <w:p w:rsidR="008C7CD5" w:rsidRPr="005A0790" w:rsidRDefault="008C7CD5" w:rsidP="008C7CD5">
            <w:pPr>
              <w:spacing w:after="0" w:line="240" w:lineRule="auto"/>
              <w:rPr>
                <w:rFonts w:eastAsia="Times New Roman" w:cs="Times New Roman"/>
                <w:sz w:val="18"/>
                <w:szCs w:val="18"/>
              </w:rPr>
            </w:pPr>
            <w:r w:rsidRPr="005A0790">
              <w:rPr>
                <w:rFonts w:eastAsia="Times New Roman" w:cs="Times New Roman"/>
                <w:sz w:val="18"/>
                <w:szCs w:val="18"/>
              </w:rPr>
              <w:t>INDICATEUR 4</w:t>
            </w:r>
          </w:p>
          <w:p w:rsidR="008C7CD5" w:rsidRPr="005A0790" w:rsidRDefault="008C7CD5" w:rsidP="008C7CD5">
            <w:pPr>
              <w:spacing w:after="0" w:line="240" w:lineRule="auto"/>
              <w:rPr>
                <w:rFonts w:eastAsia="Times New Roman" w:cs="Times New Roman"/>
                <w:sz w:val="18"/>
                <w:szCs w:val="18"/>
              </w:rPr>
            </w:pPr>
            <w:r w:rsidRPr="005A0790">
              <w:rPr>
                <w:rFonts w:eastAsia="Times New Roman" w:cs="Times New Roman"/>
                <w:sz w:val="18"/>
                <w:szCs w:val="18"/>
              </w:rPr>
              <w:t>Une stratégie de généralisation des mécanismes de coordination, des outils et du développement des capacités est validée.</w:t>
            </w:r>
          </w:p>
        </w:tc>
      </w:tr>
      <w:tr w:rsidR="00511D1F" w:rsidRPr="005A0790" w:rsidTr="002C28D7">
        <w:trPr>
          <w:trHeight w:val="1768"/>
        </w:trPr>
        <w:tc>
          <w:tcPr>
            <w:tcW w:w="2943" w:type="dxa"/>
            <w:tcBorders>
              <w:top w:val="single" w:sz="4" w:space="0" w:color="auto"/>
              <w:left w:val="single" w:sz="4" w:space="0" w:color="auto"/>
              <w:right w:val="single" w:sz="4" w:space="0" w:color="auto"/>
            </w:tcBorders>
          </w:tcPr>
          <w:p w:rsidR="00511D1F" w:rsidRPr="005A0790" w:rsidRDefault="00511D1F" w:rsidP="008C7CD5">
            <w:pPr>
              <w:spacing w:after="0" w:line="240" w:lineRule="auto"/>
              <w:jc w:val="both"/>
              <w:rPr>
                <w:rFonts w:eastAsia="Times New Roman" w:cs="Times New Roman"/>
                <w:b/>
                <w:bCs/>
                <w:sz w:val="18"/>
                <w:szCs w:val="18"/>
              </w:rPr>
            </w:pPr>
            <w:r w:rsidRPr="005A0790">
              <w:rPr>
                <w:rFonts w:eastAsia="Times New Roman" w:cs="Times New Roman"/>
                <w:b/>
                <w:bCs/>
                <w:sz w:val="18"/>
                <w:szCs w:val="18"/>
              </w:rPr>
              <w:t>Résultat 3.</w:t>
            </w:r>
          </w:p>
          <w:p w:rsidR="00511D1F" w:rsidRPr="005A0790" w:rsidRDefault="00511D1F" w:rsidP="008C7CD5">
            <w:pPr>
              <w:spacing w:after="0" w:line="240" w:lineRule="auto"/>
              <w:jc w:val="both"/>
              <w:rPr>
                <w:rFonts w:eastAsia="Times New Roman" w:cs="Times New Roman"/>
                <w:b/>
                <w:bCs/>
                <w:sz w:val="18"/>
                <w:szCs w:val="18"/>
                <w:u w:val="single"/>
              </w:rPr>
            </w:pPr>
            <w:r w:rsidRPr="005A0790">
              <w:rPr>
                <w:rFonts w:eastAsia="Times New Roman" w:cs="Times New Roman"/>
                <w:b/>
                <w:bCs/>
                <w:sz w:val="18"/>
                <w:szCs w:val="18"/>
              </w:rPr>
              <w:t>Un système de gestion adaptive du projet des leçons tirées est établi</w:t>
            </w:r>
          </w:p>
        </w:tc>
        <w:tc>
          <w:tcPr>
            <w:tcW w:w="6237" w:type="dxa"/>
            <w:tcBorders>
              <w:top w:val="single" w:sz="4" w:space="0" w:color="auto"/>
              <w:left w:val="single" w:sz="4" w:space="0" w:color="auto"/>
              <w:right w:val="single" w:sz="4" w:space="0" w:color="auto"/>
            </w:tcBorders>
          </w:tcPr>
          <w:p w:rsidR="00511D1F" w:rsidRPr="005A0790" w:rsidRDefault="00511D1F" w:rsidP="00BA15C4">
            <w:pPr>
              <w:spacing w:after="0" w:line="240" w:lineRule="auto"/>
              <w:rPr>
                <w:rFonts w:eastAsia="Times New Roman" w:cs="Times New Roman"/>
                <w:sz w:val="18"/>
                <w:szCs w:val="18"/>
              </w:rPr>
            </w:pPr>
            <w:r w:rsidRPr="005A0790">
              <w:rPr>
                <w:rFonts w:eastAsia="Times New Roman" w:cs="Times New Roman"/>
                <w:sz w:val="18"/>
                <w:szCs w:val="18"/>
              </w:rPr>
              <w:t>INDICATEUR 1</w:t>
            </w:r>
          </w:p>
          <w:p w:rsidR="00511D1F" w:rsidRPr="005A0790" w:rsidRDefault="00511D1F" w:rsidP="00BA15C4">
            <w:pPr>
              <w:spacing w:after="0" w:line="240" w:lineRule="auto"/>
              <w:rPr>
                <w:rFonts w:eastAsia="Times New Roman" w:cs="Times New Roman"/>
                <w:sz w:val="18"/>
                <w:szCs w:val="18"/>
              </w:rPr>
            </w:pPr>
            <w:r w:rsidRPr="005A0790">
              <w:rPr>
                <w:rFonts w:eastAsia="Times New Roman" w:cs="Times New Roman"/>
                <w:sz w:val="18"/>
                <w:szCs w:val="18"/>
              </w:rPr>
              <w:t>Equipe du projet mise en place</w:t>
            </w:r>
          </w:p>
          <w:p w:rsidR="00511D1F" w:rsidRPr="005A0790" w:rsidRDefault="00511D1F" w:rsidP="00BA15C4">
            <w:pPr>
              <w:spacing w:after="0" w:line="240" w:lineRule="auto"/>
              <w:rPr>
                <w:rFonts w:eastAsia="Times New Roman" w:cs="Times New Roman"/>
                <w:sz w:val="18"/>
                <w:szCs w:val="18"/>
              </w:rPr>
            </w:pPr>
            <w:r w:rsidRPr="005A0790">
              <w:rPr>
                <w:rFonts w:eastAsia="Times New Roman" w:cs="Times New Roman"/>
                <w:sz w:val="18"/>
                <w:szCs w:val="18"/>
              </w:rPr>
              <w:t>INDICATEUR 2</w:t>
            </w:r>
          </w:p>
          <w:p w:rsidR="00511D1F" w:rsidRPr="005A0790" w:rsidRDefault="00511D1F" w:rsidP="00BA15C4">
            <w:pPr>
              <w:spacing w:after="0" w:line="240" w:lineRule="auto"/>
              <w:rPr>
                <w:rFonts w:eastAsia="Times New Roman" w:cs="Times New Roman"/>
                <w:sz w:val="18"/>
                <w:szCs w:val="18"/>
              </w:rPr>
            </w:pPr>
            <w:r w:rsidRPr="005A0790">
              <w:rPr>
                <w:rFonts w:eastAsia="Times New Roman" w:cs="Times New Roman"/>
                <w:sz w:val="18"/>
                <w:szCs w:val="18"/>
              </w:rPr>
              <w:t>Système d</w:t>
            </w:r>
            <w:r>
              <w:rPr>
                <w:rFonts w:eastAsia="Times New Roman" w:cs="Times New Roman"/>
                <w:sz w:val="18"/>
                <w:szCs w:val="18"/>
              </w:rPr>
              <w:t>’assurance qualité opérationnel</w:t>
            </w:r>
          </w:p>
          <w:p w:rsidR="00511D1F" w:rsidRPr="008055AF" w:rsidRDefault="00511D1F" w:rsidP="008055AF">
            <w:pPr>
              <w:spacing w:after="0" w:line="240" w:lineRule="auto"/>
              <w:rPr>
                <w:rFonts w:eastAsia="Times New Roman" w:cs="Times New Roman"/>
                <w:sz w:val="18"/>
                <w:szCs w:val="18"/>
              </w:rPr>
            </w:pPr>
            <w:r>
              <w:rPr>
                <w:rFonts w:eastAsia="Times New Roman" w:cs="Times New Roman"/>
                <w:sz w:val="18"/>
                <w:szCs w:val="18"/>
              </w:rPr>
              <w:t>INDICATEUR 3</w:t>
            </w:r>
          </w:p>
          <w:p w:rsidR="00511D1F" w:rsidRPr="005A0790" w:rsidRDefault="00511D1F" w:rsidP="008055AF">
            <w:pPr>
              <w:spacing w:after="0" w:line="240" w:lineRule="auto"/>
              <w:rPr>
                <w:rFonts w:eastAsia="Times New Roman" w:cs="Times New Roman"/>
                <w:sz w:val="18"/>
                <w:szCs w:val="18"/>
              </w:rPr>
            </w:pPr>
            <w:r w:rsidRPr="008055AF">
              <w:rPr>
                <w:rFonts w:eastAsia="Times New Roman" w:cs="Times New Roman"/>
                <w:sz w:val="18"/>
                <w:szCs w:val="18"/>
              </w:rPr>
              <w:t>Des mécanismes de gestion des connaissances, de partage de l’information et de dissémination des capacités requises pour la reproductibilité des résultats du projet sont mis en place.</w:t>
            </w:r>
          </w:p>
        </w:tc>
      </w:tr>
    </w:tbl>
    <w:p w:rsidR="006D3E91" w:rsidRDefault="006D3E91" w:rsidP="00AD1A5C">
      <w:pPr>
        <w:autoSpaceDE w:val="0"/>
        <w:autoSpaceDN w:val="0"/>
        <w:adjustRightInd w:val="0"/>
        <w:spacing w:after="0" w:line="240" w:lineRule="auto"/>
        <w:rPr>
          <w:rFonts w:cs="ACaslonPro-Regular"/>
          <w:color w:val="000000"/>
        </w:rPr>
      </w:pPr>
    </w:p>
    <w:p w:rsidR="006C4989" w:rsidRDefault="006C4989" w:rsidP="00AD1A5C">
      <w:pPr>
        <w:autoSpaceDE w:val="0"/>
        <w:autoSpaceDN w:val="0"/>
        <w:adjustRightInd w:val="0"/>
        <w:spacing w:after="0" w:line="240" w:lineRule="auto"/>
        <w:rPr>
          <w:rFonts w:ascii="Calibri" w:hAnsi="Calibri" w:cs="Calibri"/>
          <w:color w:val="949699"/>
        </w:rPr>
      </w:pPr>
    </w:p>
    <w:p w:rsidR="00AD1A5C" w:rsidRPr="0019053E" w:rsidRDefault="006C4989" w:rsidP="006C4989">
      <w:pPr>
        <w:pStyle w:val="Titre2"/>
        <w:spacing w:before="0"/>
        <w:rPr>
          <w:rFonts w:asciiTheme="minorHAnsi" w:hAnsiTheme="minorHAnsi" w:cs="ACaslonPro-Regular"/>
          <w:color w:val="auto"/>
          <w:sz w:val="22"/>
          <w:szCs w:val="22"/>
        </w:rPr>
      </w:pPr>
      <w:bookmarkStart w:id="34" w:name="_Toc425414569"/>
      <w:r w:rsidRPr="0019053E">
        <w:rPr>
          <w:rFonts w:asciiTheme="minorHAnsi" w:hAnsiTheme="minorHAnsi" w:cs="Calibri"/>
          <w:color w:val="auto"/>
          <w:sz w:val="22"/>
          <w:szCs w:val="22"/>
        </w:rPr>
        <w:t xml:space="preserve">II.5 </w:t>
      </w:r>
      <w:r w:rsidR="00AD1A5C" w:rsidRPr="0019053E">
        <w:rPr>
          <w:rFonts w:asciiTheme="minorHAnsi" w:hAnsiTheme="minorHAnsi" w:cs="ACaslonPro-Regular"/>
          <w:color w:val="auto"/>
          <w:sz w:val="22"/>
          <w:szCs w:val="22"/>
        </w:rPr>
        <w:t>Principales parties prenantes</w:t>
      </w:r>
      <w:bookmarkEnd w:id="34"/>
    </w:p>
    <w:p w:rsidR="006C4989" w:rsidRDefault="006C4989" w:rsidP="006C4989">
      <w:pPr>
        <w:autoSpaceDE w:val="0"/>
        <w:autoSpaceDN w:val="0"/>
        <w:adjustRightInd w:val="0"/>
        <w:spacing w:after="0" w:line="240" w:lineRule="auto"/>
        <w:jc w:val="both"/>
        <w:rPr>
          <w:rFonts w:cs="ACaslonPro-Regular"/>
          <w:color w:val="000000"/>
        </w:rPr>
      </w:pPr>
      <w:r w:rsidRPr="006C4989">
        <w:rPr>
          <w:rFonts w:cs="ACaslonPro-Regular"/>
          <w:color w:val="000000"/>
        </w:rPr>
        <w:t>Les principales parties prenantes du projet sont composées d’acteurs institutionnels</w:t>
      </w:r>
      <w:r>
        <w:rPr>
          <w:rFonts w:cs="ACaslonPro-Regular"/>
          <w:color w:val="000000"/>
        </w:rPr>
        <w:t xml:space="preserve"> (MDCE – DPCC, OREDD, Services régionaux de l’e</w:t>
      </w:r>
      <w:r w:rsidR="00E57AA8">
        <w:rPr>
          <w:rFonts w:cs="ACaslonPro-Regular"/>
          <w:color w:val="000000"/>
        </w:rPr>
        <w:t>nvironnement- ; MI – INDH, DGCL(</w:t>
      </w:r>
      <w:r>
        <w:rPr>
          <w:rFonts w:cs="ACaslonPro-Regular"/>
          <w:color w:val="000000"/>
        </w:rPr>
        <w:t>DFCAT, DPE, DEA</w:t>
      </w:r>
      <w:r w:rsidR="00E57AA8">
        <w:rPr>
          <w:rFonts w:cs="ACaslonPro-Regular"/>
          <w:color w:val="000000"/>
        </w:rPr>
        <w:t>)</w:t>
      </w:r>
      <w:r>
        <w:rPr>
          <w:rFonts w:cs="ACaslonPro-Regular"/>
          <w:color w:val="000000"/>
        </w:rPr>
        <w:t xml:space="preserve">, </w:t>
      </w:r>
      <w:r w:rsidR="008055AF">
        <w:rPr>
          <w:rFonts w:cs="ACaslonPro-Regular"/>
          <w:color w:val="000000"/>
        </w:rPr>
        <w:t>Région de Tanger-Tétouan, Région de Sous-Massa-Draa et Région de Tadla-Azilal, Institutions de recherches</w:t>
      </w:r>
      <w:r w:rsidR="00682963">
        <w:rPr>
          <w:rFonts w:cs="ACaslonPro-Regular"/>
          <w:color w:val="000000"/>
        </w:rPr>
        <w:t>)- ;</w:t>
      </w:r>
      <w:r w:rsidRPr="006C4989">
        <w:rPr>
          <w:rFonts w:cs="ACaslonPro-Regular"/>
          <w:color w:val="000000"/>
        </w:rPr>
        <w:t xml:space="preserve"> d’acteurs techniques et financiers</w:t>
      </w:r>
      <w:r w:rsidR="00682963">
        <w:rPr>
          <w:rFonts w:cs="ACaslonPro-Regular"/>
          <w:color w:val="000000"/>
        </w:rPr>
        <w:t xml:space="preserve"> (GIZ, PNUD) ;e</w:t>
      </w:r>
      <w:r w:rsidRPr="006C4989">
        <w:rPr>
          <w:rFonts w:cs="ACaslonPro-Regular"/>
          <w:color w:val="000000"/>
        </w:rPr>
        <w:t>t de certains acteurs opérationnels</w:t>
      </w:r>
      <w:r w:rsidR="00682963">
        <w:rPr>
          <w:rFonts w:cs="ACaslonPro-Regular"/>
          <w:color w:val="000000"/>
        </w:rPr>
        <w:t xml:space="preserve"> (ONG)</w:t>
      </w:r>
      <w:r w:rsidRPr="006C4989">
        <w:rPr>
          <w:rFonts w:cs="ACaslonPro-Regular"/>
          <w:color w:val="000000"/>
        </w:rPr>
        <w:t xml:space="preserve">. Ils ont, selon leur profil, des rôles aux niveaux de la stratégie de développement du projet, son co-financement, sa mise en </w:t>
      </w:r>
      <w:r w:rsidR="00682963" w:rsidRPr="006C4989">
        <w:rPr>
          <w:rFonts w:cs="ACaslonPro-Regular"/>
          <w:color w:val="000000"/>
        </w:rPr>
        <w:t>œuvre</w:t>
      </w:r>
      <w:r w:rsidRPr="006C4989">
        <w:rPr>
          <w:rFonts w:cs="ACaslonPro-Regular"/>
          <w:color w:val="000000"/>
        </w:rPr>
        <w:t>, la communication et l’information autour de ses composantes et/ou la diffusion de ses résultats. Plus de détails sont disponibles en annexe du rapport.</w:t>
      </w:r>
    </w:p>
    <w:p w:rsidR="006C4989" w:rsidRDefault="006C4989" w:rsidP="00AD1A5C">
      <w:pPr>
        <w:autoSpaceDE w:val="0"/>
        <w:autoSpaceDN w:val="0"/>
        <w:adjustRightInd w:val="0"/>
        <w:spacing w:after="0" w:line="240" w:lineRule="auto"/>
        <w:rPr>
          <w:rFonts w:cs="ACaslonPro-Regular"/>
          <w:color w:val="000000"/>
        </w:rPr>
      </w:pPr>
    </w:p>
    <w:p w:rsidR="005A0790" w:rsidRDefault="005A0790" w:rsidP="00AD1A5C">
      <w:pPr>
        <w:autoSpaceDE w:val="0"/>
        <w:autoSpaceDN w:val="0"/>
        <w:adjustRightInd w:val="0"/>
        <w:spacing w:after="0" w:line="240" w:lineRule="auto"/>
        <w:rPr>
          <w:rFonts w:cs="ACaslonPro-Regular"/>
          <w:color w:val="000000"/>
        </w:rPr>
        <w:sectPr w:rsidR="005A0790">
          <w:pgSz w:w="11906" w:h="16838"/>
          <w:pgMar w:top="1417" w:right="1417" w:bottom="1417" w:left="1417" w:header="708" w:footer="708" w:gutter="0"/>
          <w:cols w:space="708"/>
          <w:docGrid w:linePitch="360"/>
        </w:sectPr>
      </w:pPr>
    </w:p>
    <w:p w:rsidR="00AD1A5C" w:rsidRPr="00D64166" w:rsidRDefault="00682963" w:rsidP="00682963">
      <w:pPr>
        <w:pStyle w:val="Titre2"/>
        <w:spacing w:before="0"/>
        <w:rPr>
          <w:rFonts w:asciiTheme="minorHAnsi" w:hAnsiTheme="minorHAnsi" w:cs="ACaslonPro-Regular"/>
          <w:color w:val="auto"/>
          <w:sz w:val="22"/>
          <w:szCs w:val="22"/>
        </w:rPr>
      </w:pPr>
      <w:bookmarkStart w:id="35" w:name="_Toc425414570"/>
      <w:r w:rsidRPr="00D64166">
        <w:rPr>
          <w:rFonts w:asciiTheme="minorHAnsi" w:hAnsiTheme="minorHAnsi" w:cs="Calibri"/>
          <w:color w:val="auto"/>
          <w:sz w:val="22"/>
          <w:szCs w:val="22"/>
        </w:rPr>
        <w:lastRenderedPageBreak/>
        <w:t xml:space="preserve">II.6 </w:t>
      </w:r>
      <w:r w:rsidR="00AD1A5C" w:rsidRPr="00D64166">
        <w:rPr>
          <w:rFonts w:asciiTheme="minorHAnsi" w:hAnsiTheme="minorHAnsi" w:cs="ACaslonPro-Regular"/>
          <w:color w:val="auto"/>
          <w:sz w:val="22"/>
          <w:szCs w:val="22"/>
        </w:rPr>
        <w:t xml:space="preserve">Résultats </w:t>
      </w:r>
      <w:r w:rsidR="009D1BBF" w:rsidRPr="00D64166">
        <w:rPr>
          <w:rFonts w:asciiTheme="minorHAnsi" w:hAnsiTheme="minorHAnsi" w:cs="ACaslonPro-Regular"/>
          <w:color w:val="auto"/>
          <w:sz w:val="22"/>
          <w:szCs w:val="22"/>
        </w:rPr>
        <w:t xml:space="preserve">et produits </w:t>
      </w:r>
      <w:r w:rsidR="00AD1A5C" w:rsidRPr="00D64166">
        <w:rPr>
          <w:rFonts w:asciiTheme="minorHAnsi" w:hAnsiTheme="minorHAnsi" w:cs="ACaslonPro-Regular"/>
          <w:color w:val="auto"/>
          <w:sz w:val="22"/>
          <w:szCs w:val="22"/>
        </w:rPr>
        <w:t>escomptés</w:t>
      </w:r>
      <w:bookmarkEnd w:id="35"/>
    </w:p>
    <w:p w:rsidR="002D24AB" w:rsidRPr="002D24AB" w:rsidRDefault="002D24AB" w:rsidP="002D24AB">
      <w:r w:rsidRPr="002D24AB">
        <w:t xml:space="preserve">Les résultats attendus du projet peuvent être retracés selon trois composantes : </w:t>
      </w:r>
      <w:r>
        <w:t>impacts</w:t>
      </w:r>
      <w:r>
        <w:rPr>
          <w:rStyle w:val="Appelnotedebasdep"/>
        </w:rPr>
        <w:footnoteReference w:id="7"/>
      </w:r>
      <w:r>
        <w:t>, résultats</w:t>
      </w:r>
      <w:r>
        <w:rPr>
          <w:rStyle w:val="Appelnotedebasdep"/>
        </w:rPr>
        <w:footnoteReference w:id="8"/>
      </w:r>
      <w:r>
        <w:t xml:space="preserve"> et produits</w:t>
      </w:r>
      <w:r>
        <w:rPr>
          <w:rStyle w:val="Appelnotedebasdep"/>
        </w:rPr>
        <w:footnoteReference w:id="9"/>
      </w:r>
      <w:r>
        <w:t xml:space="preserve"> ainsi que les </w:t>
      </w:r>
      <w:r w:rsidRPr="002D24AB">
        <w:t>cibles qui expriment le niveau du résultat attendu quantifiable par rapport aux indicateurs définis.</w:t>
      </w:r>
    </w:p>
    <w:tbl>
      <w:tblPr>
        <w:tblStyle w:val="Grilledutableau"/>
        <w:tblW w:w="0" w:type="auto"/>
        <w:tblLook w:val="04A0"/>
      </w:tblPr>
      <w:tblGrid>
        <w:gridCol w:w="2232"/>
        <w:gridCol w:w="2220"/>
        <w:gridCol w:w="2543"/>
        <w:gridCol w:w="2293"/>
      </w:tblGrid>
      <w:tr w:rsidR="0026128D" w:rsidRPr="00DC423E" w:rsidTr="0026128D">
        <w:tc>
          <w:tcPr>
            <w:tcW w:w="2598" w:type="dxa"/>
            <w:shd w:val="clear" w:color="auto" w:fill="D9D9D9" w:themeFill="background1" w:themeFillShade="D9"/>
          </w:tcPr>
          <w:p w:rsidR="0026128D" w:rsidRPr="00DC423E" w:rsidRDefault="0026128D" w:rsidP="00DC423E">
            <w:pPr>
              <w:autoSpaceDE w:val="0"/>
              <w:autoSpaceDN w:val="0"/>
              <w:adjustRightInd w:val="0"/>
              <w:jc w:val="center"/>
              <w:rPr>
                <w:rFonts w:cs="ACaslonPro-Regular"/>
                <w:b/>
                <w:color w:val="000000"/>
                <w:sz w:val="20"/>
                <w:szCs w:val="20"/>
              </w:rPr>
            </w:pPr>
            <w:r w:rsidRPr="00DC423E">
              <w:rPr>
                <w:rFonts w:cs="ACaslonPro-Regular"/>
                <w:b/>
                <w:color w:val="000000"/>
                <w:sz w:val="20"/>
                <w:szCs w:val="20"/>
              </w:rPr>
              <w:t>Impacts</w:t>
            </w:r>
          </w:p>
        </w:tc>
        <w:tc>
          <w:tcPr>
            <w:tcW w:w="2607" w:type="dxa"/>
            <w:shd w:val="clear" w:color="auto" w:fill="D9D9D9" w:themeFill="background1" w:themeFillShade="D9"/>
          </w:tcPr>
          <w:p w:rsidR="0026128D" w:rsidRPr="00DC423E" w:rsidRDefault="0026128D" w:rsidP="00DC423E">
            <w:pPr>
              <w:autoSpaceDE w:val="0"/>
              <w:autoSpaceDN w:val="0"/>
              <w:adjustRightInd w:val="0"/>
              <w:jc w:val="center"/>
              <w:rPr>
                <w:rFonts w:cs="ACaslonPro-Regular"/>
                <w:b/>
                <w:color w:val="000000"/>
                <w:sz w:val="20"/>
                <w:szCs w:val="20"/>
              </w:rPr>
            </w:pPr>
            <w:r w:rsidRPr="00DC423E">
              <w:rPr>
                <w:rFonts w:cs="ACaslonPro-Regular"/>
                <w:b/>
                <w:color w:val="000000"/>
                <w:sz w:val="20"/>
                <w:szCs w:val="20"/>
              </w:rPr>
              <w:t>Résultats</w:t>
            </w:r>
          </w:p>
        </w:tc>
        <w:tc>
          <w:tcPr>
            <w:tcW w:w="3357" w:type="dxa"/>
            <w:shd w:val="clear" w:color="auto" w:fill="D9D9D9" w:themeFill="background1" w:themeFillShade="D9"/>
          </w:tcPr>
          <w:p w:rsidR="0026128D" w:rsidRPr="00DC423E" w:rsidRDefault="0026128D" w:rsidP="00DC423E">
            <w:pPr>
              <w:autoSpaceDE w:val="0"/>
              <w:autoSpaceDN w:val="0"/>
              <w:adjustRightInd w:val="0"/>
              <w:jc w:val="center"/>
              <w:rPr>
                <w:rFonts w:cs="ACaslonPro-Regular"/>
                <w:b/>
                <w:color w:val="000000"/>
                <w:sz w:val="20"/>
                <w:szCs w:val="20"/>
              </w:rPr>
            </w:pPr>
            <w:r w:rsidRPr="00DC423E">
              <w:rPr>
                <w:rFonts w:cs="ACaslonPro-Regular"/>
                <w:b/>
                <w:color w:val="000000"/>
                <w:sz w:val="20"/>
                <w:szCs w:val="20"/>
              </w:rPr>
              <w:t>Produits</w:t>
            </w:r>
          </w:p>
        </w:tc>
        <w:tc>
          <w:tcPr>
            <w:tcW w:w="2816" w:type="dxa"/>
            <w:shd w:val="clear" w:color="auto" w:fill="D9D9D9" w:themeFill="background1" w:themeFillShade="D9"/>
          </w:tcPr>
          <w:p w:rsidR="0026128D" w:rsidRPr="00DC423E" w:rsidRDefault="0026128D" w:rsidP="00DC423E">
            <w:pPr>
              <w:autoSpaceDE w:val="0"/>
              <w:autoSpaceDN w:val="0"/>
              <w:adjustRightInd w:val="0"/>
              <w:jc w:val="center"/>
              <w:rPr>
                <w:rFonts w:cs="ACaslonPro-Regular"/>
                <w:b/>
                <w:color w:val="000000"/>
                <w:sz w:val="20"/>
                <w:szCs w:val="20"/>
              </w:rPr>
            </w:pPr>
            <w:r w:rsidRPr="00DC423E">
              <w:rPr>
                <w:rFonts w:cs="ACaslonPro-Regular"/>
                <w:b/>
                <w:color w:val="000000"/>
                <w:sz w:val="20"/>
                <w:szCs w:val="20"/>
              </w:rPr>
              <w:t>Cibles</w:t>
            </w:r>
          </w:p>
        </w:tc>
      </w:tr>
      <w:tr w:rsidR="0026128D" w:rsidRPr="00DC423E" w:rsidTr="0026128D">
        <w:tc>
          <w:tcPr>
            <w:tcW w:w="2598" w:type="dxa"/>
            <w:vMerge w:val="restart"/>
          </w:tcPr>
          <w:p w:rsidR="0026128D" w:rsidRDefault="0026128D" w:rsidP="005E7017">
            <w:pPr>
              <w:pStyle w:val="Paragraphedeliste"/>
              <w:autoSpaceDE w:val="0"/>
              <w:autoSpaceDN w:val="0"/>
              <w:adjustRightInd w:val="0"/>
              <w:ind w:left="426"/>
              <w:rPr>
                <w:rFonts w:cs="ACaslonPro-Regular"/>
                <w:color w:val="000000"/>
                <w:sz w:val="20"/>
                <w:szCs w:val="20"/>
              </w:rPr>
            </w:pPr>
          </w:p>
          <w:p w:rsidR="0026128D" w:rsidRPr="00DC423E" w:rsidRDefault="0026128D" w:rsidP="00C047CC">
            <w:pPr>
              <w:pStyle w:val="Paragraphedeliste"/>
              <w:numPr>
                <w:ilvl w:val="0"/>
                <w:numId w:val="4"/>
              </w:numPr>
              <w:autoSpaceDE w:val="0"/>
              <w:autoSpaceDN w:val="0"/>
              <w:adjustRightInd w:val="0"/>
              <w:ind w:left="426"/>
              <w:rPr>
                <w:rFonts w:cs="ACaslonPro-Regular"/>
                <w:color w:val="000000"/>
                <w:sz w:val="20"/>
                <w:szCs w:val="20"/>
              </w:rPr>
            </w:pPr>
            <w:r w:rsidRPr="00DC423E">
              <w:rPr>
                <w:rFonts w:cs="ACaslonPro-Regular"/>
                <w:color w:val="000000"/>
                <w:sz w:val="20"/>
                <w:szCs w:val="20"/>
              </w:rPr>
              <w:t>Intégrer les objectifs environnementaux mondiaux dans les programmes de l’INDH et dans la planification stratégique locale (PCD), ainsi que dans les processus de budgétisation et de suivi.</w:t>
            </w:r>
          </w:p>
          <w:p w:rsidR="0026128D" w:rsidRPr="00DC423E" w:rsidRDefault="0026128D" w:rsidP="00C047CC">
            <w:pPr>
              <w:pStyle w:val="Paragraphedeliste"/>
              <w:numPr>
                <w:ilvl w:val="0"/>
                <w:numId w:val="4"/>
              </w:numPr>
              <w:autoSpaceDE w:val="0"/>
              <w:autoSpaceDN w:val="0"/>
              <w:adjustRightInd w:val="0"/>
              <w:ind w:left="426"/>
              <w:rPr>
                <w:rFonts w:cs="ACaslonPro-Regular"/>
                <w:color w:val="000000"/>
                <w:sz w:val="20"/>
                <w:szCs w:val="20"/>
              </w:rPr>
            </w:pPr>
            <w:r w:rsidRPr="00DC423E">
              <w:rPr>
                <w:rFonts w:cs="ACaslonPro-Regular"/>
                <w:color w:val="000000"/>
                <w:sz w:val="20"/>
                <w:szCs w:val="20"/>
              </w:rPr>
              <w:t>Renforcer les capacités des acteurs locaux pour la création de synergies propices à la mise en œuvre des trois conventions de Rio.</w:t>
            </w:r>
          </w:p>
        </w:tc>
        <w:tc>
          <w:tcPr>
            <w:tcW w:w="2607" w:type="dxa"/>
          </w:tcPr>
          <w:p w:rsidR="0026128D" w:rsidRPr="00DC423E" w:rsidRDefault="0026128D" w:rsidP="0027728B">
            <w:pPr>
              <w:autoSpaceDE w:val="0"/>
              <w:autoSpaceDN w:val="0"/>
              <w:adjustRightInd w:val="0"/>
              <w:rPr>
                <w:rFonts w:cs="ACaslonPro-Regular"/>
                <w:color w:val="000000"/>
                <w:sz w:val="20"/>
                <w:szCs w:val="20"/>
              </w:rPr>
            </w:pPr>
          </w:p>
          <w:p w:rsidR="0026128D" w:rsidRPr="00DC423E" w:rsidRDefault="0026128D" w:rsidP="0027728B">
            <w:pPr>
              <w:autoSpaceDE w:val="0"/>
              <w:autoSpaceDN w:val="0"/>
              <w:adjustRightInd w:val="0"/>
              <w:rPr>
                <w:rFonts w:cs="ACaslonPro-Regular"/>
                <w:color w:val="000000"/>
                <w:sz w:val="20"/>
                <w:szCs w:val="20"/>
              </w:rPr>
            </w:pPr>
            <w:r w:rsidRPr="00DC423E">
              <w:rPr>
                <w:rFonts w:cs="ACaslonPro-Regular"/>
                <w:color w:val="000000"/>
                <w:sz w:val="20"/>
                <w:szCs w:val="20"/>
              </w:rPr>
              <w:t>Résultat 1.</w:t>
            </w:r>
          </w:p>
          <w:p w:rsidR="0026128D" w:rsidRPr="00DC423E" w:rsidRDefault="0026128D" w:rsidP="0027728B">
            <w:pPr>
              <w:autoSpaceDE w:val="0"/>
              <w:autoSpaceDN w:val="0"/>
              <w:adjustRightInd w:val="0"/>
              <w:rPr>
                <w:rFonts w:cs="ACaslonPro-Regular"/>
                <w:color w:val="000000"/>
                <w:sz w:val="20"/>
                <w:szCs w:val="20"/>
              </w:rPr>
            </w:pPr>
            <w:r w:rsidRPr="00DC423E">
              <w:rPr>
                <w:rFonts w:cs="ACaslonPro-Regular"/>
                <w:color w:val="000000"/>
                <w:sz w:val="20"/>
                <w:szCs w:val="20"/>
              </w:rPr>
              <w:t>Le cadre institutionnel pour l’intégration de la gestion de l’environnement mondial dans les programmes de l’INDH et dans la planification et le suivi des PCDs est développé.</w:t>
            </w:r>
          </w:p>
        </w:tc>
        <w:tc>
          <w:tcPr>
            <w:tcW w:w="3357" w:type="dxa"/>
          </w:tcPr>
          <w:p w:rsidR="0026128D" w:rsidRPr="00DC423E" w:rsidRDefault="0026128D" w:rsidP="00AD1A5C">
            <w:pPr>
              <w:autoSpaceDE w:val="0"/>
              <w:autoSpaceDN w:val="0"/>
              <w:adjustRightInd w:val="0"/>
              <w:rPr>
                <w:rFonts w:cs="ACaslonPro-Regular"/>
                <w:color w:val="000000"/>
                <w:sz w:val="20"/>
                <w:szCs w:val="20"/>
              </w:rPr>
            </w:pPr>
            <w:r w:rsidRPr="00DC423E">
              <w:rPr>
                <w:rFonts w:cs="ACaslonPro-Regular"/>
                <w:color w:val="000000"/>
                <w:sz w:val="20"/>
                <w:szCs w:val="20"/>
              </w:rPr>
              <w:t>Produit 1.1 Approches et outils méthodologiques pour intégrer les engagements relatifs à la gestion de l’environnement mondial dans la planification stratégique locale (PCDs) et les programmes de l’INDH sont consolidés et partagés</w:t>
            </w:r>
          </w:p>
          <w:p w:rsidR="0026128D" w:rsidRPr="00DC423E" w:rsidRDefault="0026128D" w:rsidP="00AD1A5C">
            <w:pPr>
              <w:autoSpaceDE w:val="0"/>
              <w:autoSpaceDN w:val="0"/>
              <w:adjustRightInd w:val="0"/>
              <w:rPr>
                <w:rFonts w:cs="ACaslonPro-Regular"/>
                <w:color w:val="000000"/>
                <w:sz w:val="20"/>
                <w:szCs w:val="20"/>
              </w:rPr>
            </w:pPr>
          </w:p>
          <w:p w:rsidR="0026128D" w:rsidRPr="00DC423E" w:rsidRDefault="0026128D" w:rsidP="00AD1A5C">
            <w:pPr>
              <w:autoSpaceDE w:val="0"/>
              <w:autoSpaceDN w:val="0"/>
              <w:adjustRightInd w:val="0"/>
              <w:rPr>
                <w:rFonts w:cs="ACaslonPro-Regular"/>
                <w:color w:val="000000"/>
                <w:sz w:val="20"/>
                <w:szCs w:val="20"/>
              </w:rPr>
            </w:pPr>
            <w:r w:rsidRPr="00DC423E">
              <w:rPr>
                <w:rFonts w:cs="ACaslonPro-Regular"/>
                <w:color w:val="000000"/>
                <w:sz w:val="20"/>
                <w:szCs w:val="20"/>
              </w:rPr>
              <w:t>Produit 1.2 Un mécanisme de coordination entre les institutions clés concernant l’intégration de l’environnement mondial dans la planification stratégique (PCD) et dans les programmes de l’INDH est établi.</w:t>
            </w:r>
          </w:p>
          <w:p w:rsidR="0026128D" w:rsidRPr="00DC423E" w:rsidRDefault="0026128D" w:rsidP="00AD1A5C">
            <w:pPr>
              <w:autoSpaceDE w:val="0"/>
              <w:autoSpaceDN w:val="0"/>
              <w:adjustRightInd w:val="0"/>
              <w:rPr>
                <w:rFonts w:cs="ACaslonPro-Regular"/>
                <w:color w:val="000000"/>
                <w:sz w:val="20"/>
                <w:szCs w:val="20"/>
              </w:rPr>
            </w:pPr>
          </w:p>
          <w:p w:rsidR="0026128D" w:rsidRPr="00DC423E" w:rsidRDefault="0026128D" w:rsidP="00AD1A5C">
            <w:pPr>
              <w:autoSpaceDE w:val="0"/>
              <w:autoSpaceDN w:val="0"/>
              <w:adjustRightInd w:val="0"/>
              <w:rPr>
                <w:rFonts w:cs="ACaslonPro-Regular"/>
                <w:color w:val="000000"/>
                <w:sz w:val="20"/>
                <w:szCs w:val="20"/>
              </w:rPr>
            </w:pPr>
            <w:r w:rsidRPr="00DC423E">
              <w:rPr>
                <w:rFonts w:cs="ACaslonPro-Regular"/>
                <w:color w:val="000000"/>
                <w:sz w:val="20"/>
                <w:szCs w:val="20"/>
              </w:rPr>
              <w:t>Produit 1.3 Un système de suivi et une batterie d’indicateurs permettant l’intégration de l’environnement mondial dans les systèmes de suivi des plans communaux de développement (PCDs) des programmes de l’INDH sont établis.</w:t>
            </w:r>
          </w:p>
        </w:tc>
        <w:tc>
          <w:tcPr>
            <w:tcW w:w="2816" w:type="dxa"/>
          </w:tcPr>
          <w:p w:rsidR="0026128D" w:rsidRPr="00DC423E" w:rsidRDefault="0026128D" w:rsidP="0027728B">
            <w:pPr>
              <w:autoSpaceDE w:val="0"/>
              <w:autoSpaceDN w:val="0"/>
              <w:adjustRightInd w:val="0"/>
              <w:rPr>
                <w:rFonts w:cs="ACaslonPro-Regular"/>
                <w:color w:val="000000"/>
                <w:sz w:val="20"/>
                <w:szCs w:val="20"/>
              </w:rPr>
            </w:pPr>
            <w:r w:rsidRPr="00DC423E">
              <w:rPr>
                <w:rFonts w:cs="ACaslonPro-Regular"/>
                <w:color w:val="000000"/>
                <w:sz w:val="20"/>
                <w:szCs w:val="20"/>
              </w:rPr>
              <w:t>CIBLE 1</w:t>
            </w:r>
          </w:p>
          <w:p w:rsidR="0026128D" w:rsidRPr="00DC423E" w:rsidRDefault="0026128D" w:rsidP="0027728B">
            <w:pPr>
              <w:autoSpaceDE w:val="0"/>
              <w:autoSpaceDN w:val="0"/>
              <w:adjustRightInd w:val="0"/>
              <w:rPr>
                <w:rFonts w:cs="ACaslonPro-Regular"/>
                <w:color w:val="000000"/>
                <w:sz w:val="20"/>
                <w:szCs w:val="20"/>
              </w:rPr>
            </w:pPr>
            <w:r w:rsidRPr="00DC423E">
              <w:rPr>
                <w:rFonts w:cs="ACaslonPro-Regular"/>
                <w:color w:val="000000"/>
                <w:sz w:val="20"/>
                <w:szCs w:val="20"/>
              </w:rPr>
              <w:t>Au moins 5 outils d’intégration de l’environnement mondial dans la planification locale et INDH sontdéveloppés et adoptés par les acteurs clés</w:t>
            </w:r>
          </w:p>
          <w:p w:rsidR="0026128D" w:rsidRPr="00DC423E" w:rsidRDefault="0026128D" w:rsidP="0027728B">
            <w:pPr>
              <w:autoSpaceDE w:val="0"/>
              <w:autoSpaceDN w:val="0"/>
              <w:adjustRightInd w:val="0"/>
              <w:rPr>
                <w:rFonts w:cs="ACaslonPro-Regular"/>
                <w:color w:val="000000"/>
                <w:sz w:val="20"/>
                <w:szCs w:val="20"/>
              </w:rPr>
            </w:pPr>
            <w:r w:rsidRPr="00DC423E">
              <w:rPr>
                <w:rFonts w:cs="ACaslonPro-Regular"/>
                <w:color w:val="000000"/>
                <w:sz w:val="20"/>
                <w:szCs w:val="20"/>
              </w:rPr>
              <w:t>CIBLE 2</w:t>
            </w:r>
          </w:p>
          <w:p w:rsidR="0026128D" w:rsidRPr="00DC423E" w:rsidRDefault="0026128D" w:rsidP="0027728B">
            <w:pPr>
              <w:autoSpaceDE w:val="0"/>
              <w:autoSpaceDN w:val="0"/>
              <w:adjustRightInd w:val="0"/>
              <w:rPr>
                <w:rFonts w:cs="ACaslonPro-Regular"/>
                <w:color w:val="000000"/>
                <w:sz w:val="20"/>
                <w:szCs w:val="20"/>
              </w:rPr>
            </w:pPr>
            <w:r w:rsidRPr="00DC423E">
              <w:rPr>
                <w:rFonts w:cs="ACaslonPro-Regular"/>
                <w:color w:val="000000"/>
                <w:sz w:val="20"/>
                <w:szCs w:val="20"/>
              </w:rPr>
              <w:t>Le mécanisme de coordination entre les institutions clés pour intégrer la gestion de l’environnement mondial dans la planification stratégique locale (PCDs) et les programmes de l’INDH est mis en place et opérationnel.</w:t>
            </w:r>
          </w:p>
          <w:p w:rsidR="0026128D" w:rsidRPr="00DC423E" w:rsidRDefault="0026128D" w:rsidP="0027728B">
            <w:pPr>
              <w:autoSpaceDE w:val="0"/>
              <w:autoSpaceDN w:val="0"/>
              <w:adjustRightInd w:val="0"/>
              <w:rPr>
                <w:rFonts w:cs="ACaslonPro-Regular"/>
                <w:color w:val="000000"/>
                <w:sz w:val="20"/>
                <w:szCs w:val="20"/>
              </w:rPr>
            </w:pPr>
            <w:r w:rsidRPr="00DC423E">
              <w:rPr>
                <w:rFonts w:cs="ACaslonPro-Regular"/>
                <w:color w:val="000000"/>
                <w:sz w:val="20"/>
                <w:szCs w:val="20"/>
              </w:rPr>
              <w:t>CIBLE 3</w:t>
            </w:r>
          </w:p>
          <w:p w:rsidR="0026128D" w:rsidRPr="00DC423E" w:rsidRDefault="0026128D" w:rsidP="0027728B">
            <w:pPr>
              <w:autoSpaceDE w:val="0"/>
              <w:autoSpaceDN w:val="0"/>
              <w:adjustRightInd w:val="0"/>
              <w:rPr>
                <w:rFonts w:cs="ACaslonPro-Regular"/>
                <w:color w:val="000000"/>
                <w:sz w:val="20"/>
                <w:szCs w:val="20"/>
              </w:rPr>
            </w:pPr>
            <w:r w:rsidRPr="00DC423E">
              <w:rPr>
                <w:rFonts w:cs="ACaslonPro-Regular"/>
                <w:color w:val="000000"/>
                <w:sz w:val="20"/>
                <w:szCs w:val="20"/>
              </w:rPr>
              <w:t>Un système de suivi (une batterie d’au moins 10 indicateurs relatifs à la gestion de l’environnement mondial dans les PCDs et l’INDH) est mis en place, permettant de mesurer l’effort budgétaire et l’impact environnemental.</w:t>
            </w:r>
          </w:p>
        </w:tc>
      </w:tr>
      <w:tr w:rsidR="0026128D" w:rsidRPr="00DC423E" w:rsidTr="0026128D">
        <w:tc>
          <w:tcPr>
            <w:tcW w:w="2598" w:type="dxa"/>
            <w:vMerge/>
          </w:tcPr>
          <w:p w:rsidR="0026128D" w:rsidRPr="00DC423E" w:rsidRDefault="0026128D" w:rsidP="00AD1A5C">
            <w:pPr>
              <w:autoSpaceDE w:val="0"/>
              <w:autoSpaceDN w:val="0"/>
              <w:adjustRightInd w:val="0"/>
              <w:rPr>
                <w:rFonts w:cs="ACaslonPro-Regular"/>
                <w:color w:val="000000"/>
                <w:sz w:val="20"/>
                <w:szCs w:val="20"/>
              </w:rPr>
            </w:pPr>
          </w:p>
        </w:tc>
        <w:tc>
          <w:tcPr>
            <w:tcW w:w="2607" w:type="dxa"/>
          </w:tcPr>
          <w:p w:rsidR="0026128D" w:rsidRPr="00DC423E" w:rsidRDefault="0026128D" w:rsidP="0027728B">
            <w:pPr>
              <w:autoSpaceDE w:val="0"/>
              <w:autoSpaceDN w:val="0"/>
              <w:adjustRightInd w:val="0"/>
              <w:rPr>
                <w:rFonts w:cs="ACaslonPro-Regular"/>
                <w:color w:val="000000"/>
                <w:sz w:val="20"/>
                <w:szCs w:val="20"/>
              </w:rPr>
            </w:pPr>
            <w:r w:rsidRPr="00DC423E">
              <w:rPr>
                <w:rFonts w:cs="ACaslonPro-Regular"/>
                <w:color w:val="000000"/>
                <w:sz w:val="20"/>
                <w:szCs w:val="20"/>
              </w:rPr>
              <w:t>Résultat 2.</w:t>
            </w:r>
          </w:p>
          <w:p w:rsidR="0026128D" w:rsidRPr="00DC423E" w:rsidRDefault="0026128D" w:rsidP="0027728B">
            <w:pPr>
              <w:autoSpaceDE w:val="0"/>
              <w:autoSpaceDN w:val="0"/>
              <w:adjustRightInd w:val="0"/>
              <w:rPr>
                <w:rFonts w:cs="ACaslonPro-Regular"/>
                <w:color w:val="000000"/>
                <w:sz w:val="20"/>
                <w:szCs w:val="20"/>
              </w:rPr>
            </w:pPr>
            <w:r w:rsidRPr="00DC423E">
              <w:rPr>
                <w:rFonts w:cs="ACaslonPro-Regular"/>
                <w:color w:val="000000"/>
                <w:sz w:val="20"/>
                <w:szCs w:val="20"/>
              </w:rPr>
              <w:t>Les capacités pour l’intégration systématique des cibles environnementales mondiales dans la planification locale sont renforcées.</w:t>
            </w:r>
          </w:p>
        </w:tc>
        <w:tc>
          <w:tcPr>
            <w:tcW w:w="3357" w:type="dxa"/>
          </w:tcPr>
          <w:p w:rsidR="0026128D" w:rsidRPr="00DC423E" w:rsidRDefault="0026128D" w:rsidP="00AD1A5C">
            <w:pPr>
              <w:autoSpaceDE w:val="0"/>
              <w:autoSpaceDN w:val="0"/>
              <w:adjustRightInd w:val="0"/>
              <w:rPr>
                <w:rFonts w:cs="ACaslonPro-Regular"/>
                <w:color w:val="000000"/>
                <w:sz w:val="20"/>
                <w:szCs w:val="20"/>
              </w:rPr>
            </w:pPr>
            <w:r w:rsidRPr="00DC423E">
              <w:rPr>
                <w:rFonts w:cs="ACaslonPro-Regular"/>
                <w:color w:val="000000"/>
                <w:sz w:val="20"/>
                <w:szCs w:val="20"/>
              </w:rPr>
              <w:t xml:space="preserve">Produit 2.1. Les capacités techniques et institutionnelles des parties prenantes concernées, pour intégrer les questions prioritaires d’environnement mondial dans la planification de développement local (PCDs) et dans les projets de l’INDH, sont renforcées </w:t>
            </w:r>
          </w:p>
          <w:p w:rsidR="0026128D" w:rsidRPr="00DC423E" w:rsidRDefault="0026128D" w:rsidP="00AD1A5C">
            <w:pPr>
              <w:autoSpaceDE w:val="0"/>
              <w:autoSpaceDN w:val="0"/>
              <w:adjustRightInd w:val="0"/>
              <w:rPr>
                <w:rFonts w:cs="ACaslonPro-Regular"/>
                <w:color w:val="000000"/>
                <w:sz w:val="20"/>
                <w:szCs w:val="20"/>
              </w:rPr>
            </w:pPr>
          </w:p>
          <w:p w:rsidR="0026128D" w:rsidRPr="00DC423E" w:rsidRDefault="0026128D" w:rsidP="00AD1A5C">
            <w:pPr>
              <w:autoSpaceDE w:val="0"/>
              <w:autoSpaceDN w:val="0"/>
              <w:adjustRightInd w:val="0"/>
              <w:rPr>
                <w:rFonts w:cs="ACaslonPro-Regular"/>
                <w:color w:val="000000"/>
                <w:sz w:val="20"/>
                <w:szCs w:val="20"/>
              </w:rPr>
            </w:pPr>
            <w:r w:rsidRPr="00DC423E">
              <w:rPr>
                <w:rFonts w:cs="ACaslonPro-Regular"/>
                <w:color w:val="000000"/>
                <w:sz w:val="20"/>
                <w:szCs w:val="20"/>
              </w:rPr>
              <w:t>Produit 2.2. La gestion de l’environnement mondial, avec des cibles et indicateurs correspondants et budgets affectés, est intégrée et testée dans les communes et initiatives INDH cibles et une stratégie de généralisation est validée.</w:t>
            </w:r>
          </w:p>
        </w:tc>
        <w:tc>
          <w:tcPr>
            <w:tcW w:w="2816" w:type="dxa"/>
          </w:tcPr>
          <w:p w:rsidR="0026128D" w:rsidRPr="00DC423E" w:rsidRDefault="0026128D" w:rsidP="00DC423E">
            <w:pPr>
              <w:autoSpaceDE w:val="0"/>
              <w:autoSpaceDN w:val="0"/>
              <w:adjustRightInd w:val="0"/>
              <w:rPr>
                <w:rFonts w:cs="ACaslonPro-Regular"/>
                <w:color w:val="000000"/>
                <w:sz w:val="20"/>
                <w:szCs w:val="20"/>
              </w:rPr>
            </w:pPr>
            <w:r w:rsidRPr="00DC423E">
              <w:rPr>
                <w:rFonts w:cs="ACaslonPro-Regular"/>
                <w:color w:val="000000"/>
                <w:sz w:val="20"/>
                <w:szCs w:val="20"/>
              </w:rPr>
              <w:lastRenderedPageBreak/>
              <w:t>CIBLE 1</w:t>
            </w:r>
          </w:p>
          <w:p w:rsidR="0026128D" w:rsidRPr="00DC423E" w:rsidRDefault="0026128D" w:rsidP="00DC423E">
            <w:pPr>
              <w:autoSpaceDE w:val="0"/>
              <w:autoSpaceDN w:val="0"/>
              <w:adjustRightInd w:val="0"/>
              <w:rPr>
                <w:rFonts w:cs="ACaslonPro-Regular"/>
                <w:color w:val="000000"/>
                <w:sz w:val="20"/>
                <w:szCs w:val="20"/>
              </w:rPr>
            </w:pPr>
            <w:r w:rsidRPr="00DC423E">
              <w:rPr>
                <w:rFonts w:cs="ACaslonPro-Regular"/>
                <w:color w:val="000000"/>
                <w:sz w:val="20"/>
                <w:szCs w:val="20"/>
              </w:rPr>
              <w:t>Au moins 20 institutions et 200 cadres clés formés et disposent des outils pour l’intégration de l’environnement dans INDH et PCD.</w:t>
            </w:r>
          </w:p>
          <w:p w:rsidR="0026128D" w:rsidRPr="00DC423E" w:rsidRDefault="0026128D" w:rsidP="00DC423E">
            <w:pPr>
              <w:autoSpaceDE w:val="0"/>
              <w:autoSpaceDN w:val="0"/>
              <w:adjustRightInd w:val="0"/>
              <w:rPr>
                <w:rFonts w:cs="ACaslonPro-Regular"/>
                <w:color w:val="000000"/>
                <w:sz w:val="20"/>
                <w:szCs w:val="20"/>
              </w:rPr>
            </w:pPr>
            <w:r w:rsidRPr="00DC423E">
              <w:rPr>
                <w:rFonts w:cs="ACaslonPro-Regular"/>
                <w:color w:val="000000"/>
                <w:sz w:val="20"/>
                <w:szCs w:val="20"/>
              </w:rPr>
              <w:t>CIBLE 2</w:t>
            </w:r>
          </w:p>
          <w:p w:rsidR="0026128D" w:rsidRPr="00DC423E" w:rsidRDefault="0026128D" w:rsidP="00DC423E">
            <w:pPr>
              <w:autoSpaceDE w:val="0"/>
              <w:autoSpaceDN w:val="0"/>
              <w:adjustRightInd w:val="0"/>
              <w:rPr>
                <w:rFonts w:cs="ACaslonPro-Regular"/>
                <w:color w:val="000000"/>
                <w:sz w:val="20"/>
                <w:szCs w:val="20"/>
              </w:rPr>
            </w:pPr>
            <w:r w:rsidRPr="00DC423E">
              <w:rPr>
                <w:rFonts w:cs="ACaslonPro-Regular"/>
                <w:color w:val="000000"/>
                <w:sz w:val="20"/>
                <w:szCs w:val="20"/>
              </w:rPr>
              <w:t xml:space="preserve">Au moins 4 PCD et 10 initiatives INDH intègrent de manière systématique </w:t>
            </w:r>
            <w:r w:rsidRPr="00DC423E">
              <w:rPr>
                <w:rFonts w:cs="ACaslonPro-Regular"/>
                <w:color w:val="000000"/>
                <w:sz w:val="20"/>
                <w:szCs w:val="20"/>
              </w:rPr>
              <w:lastRenderedPageBreak/>
              <w:t>les priorités de l’environnement mondial.</w:t>
            </w:r>
          </w:p>
          <w:p w:rsidR="0026128D" w:rsidRPr="00DC423E" w:rsidRDefault="0026128D" w:rsidP="00DC423E">
            <w:pPr>
              <w:autoSpaceDE w:val="0"/>
              <w:autoSpaceDN w:val="0"/>
              <w:adjustRightInd w:val="0"/>
              <w:rPr>
                <w:rFonts w:cs="ACaslonPro-Regular"/>
                <w:color w:val="000000"/>
                <w:sz w:val="20"/>
                <w:szCs w:val="20"/>
              </w:rPr>
            </w:pPr>
            <w:r w:rsidRPr="00DC423E">
              <w:rPr>
                <w:rFonts w:cs="ACaslonPro-Regular"/>
                <w:color w:val="000000"/>
                <w:sz w:val="20"/>
                <w:szCs w:val="20"/>
              </w:rPr>
              <w:t>CIBLE 3</w:t>
            </w:r>
          </w:p>
          <w:p w:rsidR="0026128D" w:rsidRPr="00DC423E" w:rsidRDefault="0026128D" w:rsidP="00DC423E">
            <w:pPr>
              <w:autoSpaceDE w:val="0"/>
              <w:autoSpaceDN w:val="0"/>
              <w:adjustRightInd w:val="0"/>
              <w:rPr>
                <w:rFonts w:cs="ACaslonPro-Regular"/>
                <w:color w:val="000000"/>
                <w:sz w:val="20"/>
                <w:szCs w:val="20"/>
              </w:rPr>
            </w:pPr>
            <w:r w:rsidRPr="00DC423E">
              <w:rPr>
                <w:rFonts w:cs="ACaslonPro-Regular"/>
                <w:color w:val="000000"/>
                <w:sz w:val="20"/>
                <w:szCs w:val="20"/>
              </w:rPr>
              <w:t>Au moins 10% d’augmentation des budgets de l’INDH et d</w:t>
            </w:r>
            <w:r>
              <w:rPr>
                <w:rFonts w:cs="ACaslonPro-Regular"/>
                <w:color w:val="000000"/>
                <w:sz w:val="20"/>
                <w:szCs w:val="20"/>
              </w:rPr>
              <w:t>es PCDs testés sont consacrées à</w:t>
            </w:r>
            <w:r w:rsidRPr="00DC423E">
              <w:rPr>
                <w:rFonts w:cs="ACaslonPro-Regular"/>
                <w:color w:val="000000"/>
                <w:sz w:val="20"/>
                <w:szCs w:val="20"/>
              </w:rPr>
              <w:t xml:space="preserve"> la gestion environnementale mondiale.</w:t>
            </w:r>
          </w:p>
          <w:p w:rsidR="0026128D" w:rsidRPr="00DC423E" w:rsidRDefault="0026128D" w:rsidP="00DC423E">
            <w:pPr>
              <w:autoSpaceDE w:val="0"/>
              <w:autoSpaceDN w:val="0"/>
              <w:adjustRightInd w:val="0"/>
              <w:rPr>
                <w:rFonts w:cs="ACaslonPro-Regular"/>
                <w:color w:val="000000"/>
                <w:sz w:val="20"/>
                <w:szCs w:val="20"/>
              </w:rPr>
            </w:pPr>
            <w:r w:rsidRPr="00DC423E">
              <w:rPr>
                <w:rFonts w:cs="ACaslonPro-Regular"/>
                <w:color w:val="000000"/>
                <w:sz w:val="20"/>
                <w:szCs w:val="20"/>
              </w:rPr>
              <w:t>CIBLE 4</w:t>
            </w:r>
          </w:p>
          <w:p w:rsidR="0026128D" w:rsidRPr="00DC423E" w:rsidRDefault="0026128D" w:rsidP="00DC423E">
            <w:pPr>
              <w:autoSpaceDE w:val="0"/>
              <w:autoSpaceDN w:val="0"/>
              <w:adjustRightInd w:val="0"/>
              <w:rPr>
                <w:rFonts w:cs="ACaslonPro-Regular"/>
                <w:color w:val="000000"/>
                <w:sz w:val="20"/>
                <w:szCs w:val="20"/>
              </w:rPr>
            </w:pPr>
            <w:r w:rsidRPr="00DC423E">
              <w:rPr>
                <w:rFonts w:cs="ACaslonPro-Regular"/>
                <w:color w:val="000000"/>
                <w:sz w:val="20"/>
                <w:szCs w:val="20"/>
              </w:rPr>
              <w:t xml:space="preserve">Une stratégie de généralisation des outils d’intégration de l’environnement mondial dans </w:t>
            </w:r>
            <w:r>
              <w:rPr>
                <w:rFonts w:cs="ACaslonPro-Regular"/>
                <w:color w:val="000000"/>
                <w:sz w:val="20"/>
                <w:szCs w:val="20"/>
              </w:rPr>
              <w:t>l’</w:t>
            </w:r>
            <w:r w:rsidRPr="00DC423E">
              <w:rPr>
                <w:rFonts w:cs="ACaslonPro-Regular"/>
                <w:color w:val="000000"/>
                <w:sz w:val="20"/>
                <w:szCs w:val="20"/>
              </w:rPr>
              <w:t xml:space="preserve">INDH et </w:t>
            </w:r>
            <w:r>
              <w:rPr>
                <w:rFonts w:cs="ACaslonPro-Regular"/>
                <w:color w:val="000000"/>
                <w:sz w:val="20"/>
                <w:szCs w:val="20"/>
              </w:rPr>
              <w:t xml:space="preserve">les </w:t>
            </w:r>
            <w:r w:rsidRPr="00DC423E">
              <w:rPr>
                <w:rFonts w:cs="ACaslonPro-Regular"/>
                <w:color w:val="000000"/>
                <w:sz w:val="20"/>
                <w:szCs w:val="20"/>
              </w:rPr>
              <w:t>PCD est validée</w:t>
            </w:r>
          </w:p>
        </w:tc>
      </w:tr>
      <w:tr w:rsidR="0026128D" w:rsidRPr="00DC423E" w:rsidTr="0026128D">
        <w:tc>
          <w:tcPr>
            <w:tcW w:w="2598" w:type="dxa"/>
          </w:tcPr>
          <w:p w:rsidR="0026128D" w:rsidRPr="00DC423E" w:rsidRDefault="0026128D" w:rsidP="00AD1A5C">
            <w:pPr>
              <w:autoSpaceDE w:val="0"/>
              <w:autoSpaceDN w:val="0"/>
              <w:adjustRightInd w:val="0"/>
              <w:rPr>
                <w:rFonts w:cs="ACaslonPro-Regular"/>
                <w:color w:val="000000"/>
                <w:sz w:val="20"/>
                <w:szCs w:val="20"/>
              </w:rPr>
            </w:pPr>
          </w:p>
        </w:tc>
        <w:tc>
          <w:tcPr>
            <w:tcW w:w="2607" w:type="dxa"/>
          </w:tcPr>
          <w:p w:rsidR="0026128D" w:rsidRPr="00DC423E" w:rsidRDefault="0026128D" w:rsidP="0027728B">
            <w:pPr>
              <w:autoSpaceDE w:val="0"/>
              <w:autoSpaceDN w:val="0"/>
              <w:adjustRightInd w:val="0"/>
              <w:rPr>
                <w:rFonts w:cs="ACaslonPro-Regular"/>
                <w:color w:val="000000"/>
                <w:sz w:val="20"/>
                <w:szCs w:val="20"/>
              </w:rPr>
            </w:pPr>
            <w:r w:rsidRPr="00DC423E">
              <w:rPr>
                <w:rFonts w:cs="ACaslonPro-Regular"/>
                <w:color w:val="000000"/>
                <w:sz w:val="20"/>
                <w:szCs w:val="20"/>
              </w:rPr>
              <w:t>Résultat</w:t>
            </w:r>
            <w:r>
              <w:rPr>
                <w:rFonts w:cs="ACaslonPro-Regular"/>
                <w:color w:val="000000"/>
                <w:sz w:val="20"/>
                <w:szCs w:val="20"/>
              </w:rPr>
              <w:t>s3 et 4.</w:t>
            </w:r>
          </w:p>
          <w:p w:rsidR="0026128D" w:rsidRPr="00DC423E" w:rsidRDefault="0026128D" w:rsidP="0027728B">
            <w:pPr>
              <w:autoSpaceDE w:val="0"/>
              <w:autoSpaceDN w:val="0"/>
              <w:adjustRightInd w:val="0"/>
              <w:rPr>
                <w:rFonts w:cs="ACaslonPro-Regular"/>
                <w:color w:val="000000"/>
                <w:sz w:val="20"/>
                <w:szCs w:val="20"/>
              </w:rPr>
            </w:pPr>
            <w:r w:rsidRPr="00DC423E">
              <w:rPr>
                <w:rFonts w:cs="ACaslonPro-Regular"/>
                <w:color w:val="000000"/>
                <w:sz w:val="20"/>
                <w:szCs w:val="20"/>
              </w:rPr>
              <w:t>Un système de gestion adaptive du projet des leçons tirées est établi</w:t>
            </w:r>
          </w:p>
        </w:tc>
        <w:tc>
          <w:tcPr>
            <w:tcW w:w="3357" w:type="dxa"/>
          </w:tcPr>
          <w:p w:rsidR="0026128D" w:rsidRPr="00DC423E" w:rsidRDefault="0026128D" w:rsidP="00AD1A5C">
            <w:pPr>
              <w:autoSpaceDE w:val="0"/>
              <w:autoSpaceDN w:val="0"/>
              <w:adjustRightInd w:val="0"/>
              <w:rPr>
                <w:rFonts w:cs="ACaslonPro-Regular"/>
                <w:color w:val="000000"/>
                <w:sz w:val="20"/>
                <w:szCs w:val="20"/>
              </w:rPr>
            </w:pPr>
            <w:r w:rsidRPr="00DC423E">
              <w:rPr>
                <w:rFonts w:cs="ACaslonPro-Regular"/>
                <w:color w:val="000000"/>
                <w:sz w:val="20"/>
                <w:szCs w:val="20"/>
              </w:rPr>
              <w:t xml:space="preserve">Produit 3.1 L’équipe de gestion du projet est mise en place et opérationnelle. </w:t>
            </w:r>
          </w:p>
          <w:p w:rsidR="0026128D" w:rsidRPr="00DC423E" w:rsidRDefault="0026128D" w:rsidP="00AD1A5C">
            <w:pPr>
              <w:autoSpaceDE w:val="0"/>
              <w:autoSpaceDN w:val="0"/>
              <w:adjustRightInd w:val="0"/>
              <w:rPr>
                <w:rFonts w:cs="ACaslonPro-Regular"/>
                <w:color w:val="000000"/>
                <w:sz w:val="20"/>
                <w:szCs w:val="20"/>
              </w:rPr>
            </w:pPr>
          </w:p>
          <w:p w:rsidR="0026128D" w:rsidRPr="00DC423E" w:rsidRDefault="0026128D" w:rsidP="00AD1A5C">
            <w:pPr>
              <w:autoSpaceDE w:val="0"/>
              <w:autoSpaceDN w:val="0"/>
              <w:adjustRightInd w:val="0"/>
              <w:rPr>
                <w:rFonts w:cs="ACaslonPro-Regular"/>
                <w:color w:val="000000"/>
                <w:sz w:val="20"/>
                <w:szCs w:val="20"/>
              </w:rPr>
            </w:pPr>
            <w:r w:rsidRPr="00DC423E">
              <w:rPr>
                <w:rFonts w:cs="ACaslonPro-Regular"/>
                <w:color w:val="000000"/>
                <w:sz w:val="20"/>
                <w:szCs w:val="20"/>
              </w:rPr>
              <w:t>Produit 3.2. Des mécanismes de gestion des connaissances et de communication élargie établis et opérationnels pour servir l’objectif du projet.</w:t>
            </w:r>
          </w:p>
        </w:tc>
        <w:tc>
          <w:tcPr>
            <w:tcW w:w="2816" w:type="dxa"/>
          </w:tcPr>
          <w:p w:rsidR="0026128D" w:rsidRPr="00DC423E" w:rsidRDefault="0026128D" w:rsidP="00DC423E">
            <w:pPr>
              <w:autoSpaceDE w:val="0"/>
              <w:autoSpaceDN w:val="0"/>
              <w:adjustRightInd w:val="0"/>
              <w:rPr>
                <w:rFonts w:cs="ACaslonPro-Regular"/>
                <w:color w:val="000000"/>
                <w:sz w:val="20"/>
                <w:szCs w:val="20"/>
              </w:rPr>
            </w:pPr>
            <w:r w:rsidRPr="00DC423E">
              <w:rPr>
                <w:rFonts w:cs="ACaslonPro-Regular"/>
                <w:color w:val="000000"/>
                <w:sz w:val="20"/>
                <w:szCs w:val="20"/>
              </w:rPr>
              <w:t>CIBLE 1</w:t>
            </w:r>
          </w:p>
          <w:p w:rsidR="0026128D" w:rsidRPr="00DC423E" w:rsidRDefault="0026128D" w:rsidP="00DC423E">
            <w:pPr>
              <w:autoSpaceDE w:val="0"/>
              <w:autoSpaceDN w:val="0"/>
              <w:adjustRightInd w:val="0"/>
              <w:rPr>
                <w:rFonts w:cs="ACaslonPro-Regular"/>
                <w:color w:val="000000"/>
                <w:sz w:val="20"/>
                <w:szCs w:val="20"/>
              </w:rPr>
            </w:pPr>
            <w:r w:rsidRPr="00DC423E">
              <w:rPr>
                <w:rFonts w:cs="ACaslonPro-Regular"/>
                <w:color w:val="000000"/>
                <w:sz w:val="20"/>
                <w:szCs w:val="20"/>
              </w:rPr>
              <w:t>Unité de gestion mise en place et opérationnelle</w:t>
            </w:r>
          </w:p>
          <w:p w:rsidR="0026128D" w:rsidRPr="00DC423E" w:rsidRDefault="0026128D" w:rsidP="00DC423E">
            <w:pPr>
              <w:autoSpaceDE w:val="0"/>
              <w:autoSpaceDN w:val="0"/>
              <w:adjustRightInd w:val="0"/>
              <w:rPr>
                <w:rFonts w:cs="ACaslonPro-Regular"/>
                <w:color w:val="000000"/>
                <w:sz w:val="20"/>
                <w:szCs w:val="20"/>
              </w:rPr>
            </w:pPr>
            <w:r w:rsidRPr="00DC423E">
              <w:rPr>
                <w:rFonts w:cs="ACaslonPro-Regular"/>
                <w:color w:val="000000"/>
                <w:sz w:val="20"/>
                <w:szCs w:val="20"/>
              </w:rPr>
              <w:t>CIBLE 2</w:t>
            </w:r>
          </w:p>
          <w:p w:rsidR="0026128D" w:rsidRPr="00DC423E" w:rsidRDefault="0026128D" w:rsidP="00DC423E">
            <w:pPr>
              <w:autoSpaceDE w:val="0"/>
              <w:autoSpaceDN w:val="0"/>
              <w:adjustRightInd w:val="0"/>
              <w:rPr>
                <w:rFonts w:cs="ACaslonPro-Regular"/>
                <w:color w:val="000000"/>
                <w:sz w:val="20"/>
                <w:szCs w:val="20"/>
              </w:rPr>
            </w:pPr>
            <w:r w:rsidRPr="00DC423E">
              <w:rPr>
                <w:rFonts w:cs="ACaslonPro-Regular"/>
                <w:color w:val="000000"/>
                <w:sz w:val="20"/>
                <w:szCs w:val="20"/>
              </w:rPr>
              <w:t>Le plan de suivi-évaluation et d’assurance qualité actualisé et mis en œuvre</w:t>
            </w:r>
          </w:p>
          <w:p w:rsidR="0026128D" w:rsidRPr="00DC423E" w:rsidRDefault="0026128D" w:rsidP="00DC423E">
            <w:pPr>
              <w:autoSpaceDE w:val="0"/>
              <w:autoSpaceDN w:val="0"/>
              <w:adjustRightInd w:val="0"/>
              <w:rPr>
                <w:rFonts w:cs="ACaslonPro-Regular"/>
                <w:color w:val="000000"/>
                <w:sz w:val="20"/>
                <w:szCs w:val="20"/>
              </w:rPr>
            </w:pPr>
            <w:r w:rsidRPr="00DC423E">
              <w:rPr>
                <w:rFonts w:cs="ACaslonPro-Regular"/>
                <w:color w:val="000000"/>
                <w:sz w:val="20"/>
                <w:szCs w:val="20"/>
              </w:rPr>
              <w:t>CIBLE 3</w:t>
            </w:r>
          </w:p>
          <w:p w:rsidR="0026128D" w:rsidRPr="00DC423E" w:rsidRDefault="0026128D" w:rsidP="00DC423E">
            <w:pPr>
              <w:autoSpaceDE w:val="0"/>
              <w:autoSpaceDN w:val="0"/>
              <w:adjustRightInd w:val="0"/>
              <w:rPr>
                <w:rFonts w:cs="ACaslonPro-Regular"/>
                <w:color w:val="000000"/>
                <w:sz w:val="20"/>
                <w:szCs w:val="20"/>
              </w:rPr>
            </w:pPr>
            <w:r w:rsidRPr="00DC423E">
              <w:rPr>
                <w:rFonts w:cs="ACaslonPro-Regular"/>
                <w:color w:val="000000"/>
                <w:sz w:val="20"/>
                <w:szCs w:val="20"/>
              </w:rPr>
              <w:t>Les acquis de connaissance du projet (leçons et bonnes pratiques) sont consolidés et diffusés.</w:t>
            </w:r>
          </w:p>
        </w:tc>
      </w:tr>
    </w:tbl>
    <w:p w:rsidR="00682963" w:rsidRDefault="00682963" w:rsidP="00AD1A5C">
      <w:pPr>
        <w:autoSpaceDE w:val="0"/>
        <w:autoSpaceDN w:val="0"/>
        <w:adjustRightInd w:val="0"/>
        <w:spacing w:after="0" w:line="240" w:lineRule="auto"/>
        <w:rPr>
          <w:rFonts w:cs="ACaslonPro-Regular"/>
          <w:color w:val="000000"/>
        </w:rPr>
      </w:pPr>
    </w:p>
    <w:p w:rsidR="00682963" w:rsidRDefault="00682963" w:rsidP="00AD1A5C">
      <w:pPr>
        <w:autoSpaceDE w:val="0"/>
        <w:autoSpaceDN w:val="0"/>
        <w:adjustRightInd w:val="0"/>
        <w:spacing w:after="0" w:line="240" w:lineRule="auto"/>
        <w:rPr>
          <w:rFonts w:cs="ACaslonPro-Regular"/>
          <w:color w:val="000000"/>
        </w:rPr>
      </w:pPr>
    </w:p>
    <w:p w:rsidR="005A0790" w:rsidRDefault="005A0790" w:rsidP="00AD1A5C">
      <w:pPr>
        <w:autoSpaceDE w:val="0"/>
        <w:autoSpaceDN w:val="0"/>
        <w:adjustRightInd w:val="0"/>
        <w:spacing w:after="0" w:line="240" w:lineRule="auto"/>
        <w:rPr>
          <w:rFonts w:cs="ACaslonPro-Regular"/>
          <w:color w:val="000000"/>
        </w:rPr>
        <w:sectPr w:rsidR="005A0790" w:rsidSect="0026128D">
          <w:pgSz w:w="11906" w:h="16838"/>
          <w:pgMar w:top="1417" w:right="1417" w:bottom="1417" w:left="1417" w:header="708" w:footer="708" w:gutter="0"/>
          <w:cols w:space="708"/>
          <w:docGrid w:linePitch="360"/>
        </w:sectPr>
      </w:pPr>
    </w:p>
    <w:p w:rsidR="00AD1A5C" w:rsidRPr="00890A1B" w:rsidRDefault="00D64166" w:rsidP="00D64166">
      <w:pPr>
        <w:pStyle w:val="Titre1"/>
        <w:spacing w:before="0"/>
        <w:rPr>
          <w:rFonts w:asciiTheme="minorHAnsi" w:hAnsiTheme="minorHAnsi" w:cs="MyriadPro-Bold"/>
          <w:bCs w:val="0"/>
          <w:color w:val="000000"/>
          <w:sz w:val="22"/>
          <w:szCs w:val="22"/>
        </w:rPr>
      </w:pPr>
      <w:bookmarkStart w:id="36" w:name="_Toc425414571"/>
      <w:r w:rsidRPr="00890A1B">
        <w:rPr>
          <w:rFonts w:asciiTheme="minorHAnsi" w:hAnsiTheme="minorHAnsi" w:cs="ACaslonPro-Regular"/>
          <w:color w:val="000000"/>
          <w:sz w:val="22"/>
          <w:szCs w:val="22"/>
        </w:rPr>
        <w:lastRenderedPageBreak/>
        <w:t xml:space="preserve">III. </w:t>
      </w:r>
      <w:r w:rsidR="00AD1A5C" w:rsidRPr="00890A1B">
        <w:rPr>
          <w:rFonts w:asciiTheme="minorHAnsi" w:hAnsiTheme="minorHAnsi" w:cs="MyriadPro-Bold"/>
          <w:bCs w:val="0"/>
          <w:color w:val="000000"/>
          <w:sz w:val="22"/>
          <w:szCs w:val="22"/>
        </w:rPr>
        <w:t>Conclusions</w:t>
      </w:r>
      <w:bookmarkEnd w:id="36"/>
    </w:p>
    <w:p w:rsidR="00D64166" w:rsidRDefault="00D64166" w:rsidP="00AD1A5C">
      <w:pPr>
        <w:autoSpaceDE w:val="0"/>
        <w:autoSpaceDN w:val="0"/>
        <w:adjustRightInd w:val="0"/>
        <w:spacing w:after="0" w:line="240" w:lineRule="auto"/>
        <w:rPr>
          <w:rFonts w:cs="ACaslonPro-Regular"/>
          <w:color w:val="000000"/>
        </w:rPr>
      </w:pPr>
    </w:p>
    <w:p w:rsidR="00AD1A5C" w:rsidRPr="00A55B1D" w:rsidRDefault="00D64166" w:rsidP="00F63F00">
      <w:pPr>
        <w:pStyle w:val="Sous-titre"/>
        <w:outlineLvl w:val="1"/>
      </w:pPr>
      <w:bookmarkStart w:id="37" w:name="_Toc425414572"/>
      <w:r w:rsidRPr="00A55B1D">
        <w:t>III</w:t>
      </w:r>
      <w:r w:rsidR="00AD1A5C" w:rsidRPr="00A55B1D">
        <w:t>.1 Conception/Formulation du projet</w:t>
      </w:r>
      <w:bookmarkEnd w:id="37"/>
    </w:p>
    <w:p w:rsidR="00D64166" w:rsidRPr="00A55B1D" w:rsidRDefault="00A55B1D" w:rsidP="00A55B1D">
      <w:pPr>
        <w:pStyle w:val="Titre3"/>
        <w:spacing w:before="0"/>
        <w:rPr>
          <w:rFonts w:asciiTheme="minorHAnsi" w:hAnsiTheme="minorHAnsi" w:cs="MyriadPro-Bold"/>
          <w:bCs w:val="0"/>
          <w:color w:val="000000"/>
        </w:rPr>
      </w:pPr>
      <w:bookmarkStart w:id="38" w:name="_Toc425414573"/>
      <w:r w:rsidRPr="00A55B1D">
        <w:rPr>
          <w:rFonts w:asciiTheme="minorHAnsi" w:hAnsiTheme="minorHAnsi" w:cs="MyriadPro-Bold"/>
          <w:bCs w:val="0"/>
          <w:color w:val="000000"/>
        </w:rPr>
        <w:t>III.1.1 Analyse du cadre logique</w:t>
      </w:r>
      <w:bookmarkEnd w:id="38"/>
    </w:p>
    <w:p w:rsidR="00A55B1D" w:rsidRDefault="00604D3A" w:rsidP="00AE54CD">
      <w:pPr>
        <w:autoSpaceDE w:val="0"/>
        <w:autoSpaceDN w:val="0"/>
        <w:adjustRightInd w:val="0"/>
        <w:spacing w:after="0" w:line="240" w:lineRule="auto"/>
        <w:jc w:val="both"/>
        <w:rPr>
          <w:rFonts w:cs="MyriadPro-Bold"/>
          <w:bCs/>
        </w:rPr>
      </w:pPr>
      <w:r>
        <w:rPr>
          <w:rFonts w:cs="MyriadPro-Bold"/>
          <w:bCs/>
        </w:rPr>
        <w:t>Le ProD</w:t>
      </w:r>
      <w:r w:rsidR="00AE54CD" w:rsidRPr="00AE54CD">
        <w:rPr>
          <w:rFonts w:cs="MyriadPro-Bold"/>
          <w:bCs/>
        </w:rPr>
        <w:t>oc du projet</w:t>
      </w:r>
      <w:r w:rsidR="00AE54CD">
        <w:rPr>
          <w:rFonts w:cs="MyriadPro-Bold"/>
          <w:bCs/>
        </w:rPr>
        <w:t xml:space="preserve"> présente en annexe 4 une matrice du cadre logique complète et comprenant aussi bien les objectifs et résultats que les indicateurs d’impact et la description de leur situation de référence. Cette matrice est complétée par </w:t>
      </w:r>
      <w:r w:rsidR="000A356E">
        <w:rPr>
          <w:rFonts w:cs="MyriadPro-Bold"/>
          <w:bCs/>
        </w:rPr>
        <w:t xml:space="preserve">les </w:t>
      </w:r>
      <w:r w:rsidR="00AE54CD">
        <w:rPr>
          <w:rFonts w:cs="MyriadPro-Bold"/>
          <w:bCs/>
        </w:rPr>
        <w:t>cibles et les sources de vérification ainsi que les hypothèses et risques qui concourent aux résultats escomptés.</w:t>
      </w:r>
    </w:p>
    <w:p w:rsidR="00AE54CD" w:rsidRDefault="00AE54CD" w:rsidP="00AD1A5C">
      <w:pPr>
        <w:autoSpaceDE w:val="0"/>
        <w:autoSpaceDN w:val="0"/>
        <w:adjustRightInd w:val="0"/>
        <w:spacing w:after="0" w:line="240" w:lineRule="auto"/>
        <w:rPr>
          <w:rFonts w:cs="MyriadPro-Bold"/>
          <w:bCs/>
        </w:rPr>
      </w:pPr>
    </w:p>
    <w:p w:rsidR="00AE54CD" w:rsidRPr="00422F33" w:rsidRDefault="00AE54CD" w:rsidP="00AE54CD">
      <w:pPr>
        <w:autoSpaceDE w:val="0"/>
        <w:autoSpaceDN w:val="0"/>
        <w:adjustRightInd w:val="0"/>
        <w:spacing w:after="0" w:line="240" w:lineRule="auto"/>
        <w:rPr>
          <w:rFonts w:cs="MyriadPro-Bold"/>
          <w:b/>
          <w:bCs/>
          <w:u w:val="single"/>
        </w:rPr>
      </w:pPr>
      <w:r w:rsidRPr="00422F33">
        <w:rPr>
          <w:rFonts w:cs="MyriadPro-Bold"/>
          <w:b/>
          <w:bCs/>
          <w:u w:val="single"/>
        </w:rPr>
        <w:t>Logique d’intervention du projet</w:t>
      </w:r>
    </w:p>
    <w:p w:rsidR="00AE54CD" w:rsidRDefault="00AE54CD" w:rsidP="00604D3A">
      <w:pPr>
        <w:autoSpaceDE w:val="0"/>
        <w:autoSpaceDN w:val="0"/>
        <w:adjustRightInd w:val="0"/>
        <w:spacing w:after="0" w:line="240" w:lineRule="auto"/>
        <w:jc w:val="both"/>
        <w:rPr>
          <w:rFonts w:cs="MyriadPro-Bold"/>
          <w:bCs/>
        </w:rPr>
      </w:pPr>
      <w:r w:rsidRPr="00AE54CD">
        <w:rPr>
          <w:rFonts w:cs="MyriadPro-Bold"/>
          <w:bCs/>
        </w:rPr>
        <w:t xml:space="preserve">Une analyse a été réalisée sur la base du cadre logique à disposition pour vérifier si </w:t>
      </w:r>
      <w:r w:rsidR="000A356E">
        <w:rPr>
          <w:rFonts w:cs="MyriadPro-Bold"/>
          <w:bCs/>
        </w:rPr>
        <w:t xml:space="preserve">les différentes étapes retenues pour son déroulement concourent à atteindre l’objectif assigné. </w:t>
      </w:r>
    </w:p>
    <w:p w:rsidR="005E7017" w:rsidRPr="00AE54CD" w:rsidRDefault="005E7017" w:rsidP="00AE54CD">
      <w:pPr>
        <w:autoSpaceDE w:val="0"/>
        <w:autoSpaceDN w:val="0"/>
        <w:adjustRightInd w:val="0"/>
        <w:spacing w:after="0" w:line="240" w:lineRule="auto"/>
        <w:rPr>
          <w:rFonts w:cs="MyriadPro-Bold"/>
          <w:bCs/>
        </w:rPr>
      </w:pPr>
    </w:p>
    <w:p w:rsidR="00AE54CD" w:rsidRPr="00422F33" w:rsidRDefault="00AE54CD" w:rsidP="00AE54CD">
      <w:pPr>
        <w:autoSpaceDE w:val="0"/>
        <w:autoSpaceDN w:val="0"/>
        <w:adjustRightInd w:val="0"/>
        <w:spacing w:after="0" w:line="240" w:lineRule="auto"/>
        <w:rPr>
          <w:rFonts w:cs="MyriadPro-Bold"/>
          <w:b/>
          <w:bCs/>
          <w:i/>
        </w:rPr>
      </w:pPr>
      <w:r w:rsidRPr="00422F33">
        <w:rPr>
          <w:rFonts w:cs="MyriadPro-Bold"/>
          <w:b/>
          <w:bCs/>
          <w:i/>
        </w:rPr>
        <w:t>Cohérence entre l’objectif et les résultats à atteindre</w:t>
      </w:r>
    </w:p>
    <w:p w:rsidR="00380102" w:rsidRDefault="005E7017" w:rsidP="00AD1A5C">
      <w:pPr>
        <w:autoSpaceDE w:val="0"/>
        <w:autoSpaceDN w:val="0"/>
        <w:adjustRightInd w:val="0"/>
        <w:spacing w:after="0" w:line="240" w:lineRule="auto"/>
        <w:rPr>
          <w:rFonts w:cs="MyriadPro-Bold"/>
          <w:bCs/>
        </w:rPr>
      </w:pPr>
      <w:r w:rsidRPr="005E7017">
        <w:rPr>
          <w:rFonts w:cs="MyriadPro-Bold"/>
          <w:bCs/>
        </w:rPr>
        <w:t>L’objectif du projet est d’intégrer les objectifs environnementaux mondiaux dans les programmes de l’INDH et dans la planification stratégique locale (PCD), ainsi que dans les processus de budgétisation et de suivi.</w:t>
      </w:r>
      <w:r>
        <w:rPr>
          <w:rFonts w:cs="MyriadPro-Bold"/>
          <w:bCs/>
        </w:rPr>
        <w:t xml:space="preserve"> Cet objectif doit être atteint </w:t>
      </w:r>
      <w:r w:rsidR="00380102">
        <w:rPr>
          <w:rFonts w:cs="MyriadPro-Bold"/>
          <w:bCs/>
        </w:rPr>
        <w:t xml:space="preserve">grâce à l’accomplissement des résultats escomptés du projet. </w:t>
      </w:r>
      <w:r w:rsidRPr="005E7017">
        <w:rPr>
          <w:rFonts w:cs="MyriadPro-Bold"/>
          <w:bCs/>
        </w:rPr>
        <w:t>A ce propos, trois résultats à atteindre (</w:t>
      </w:r>
      <w:r w:rsidR="00380102">
        <w:rPr>
          <w:rFonts w:cs="MyriadPro-Bold"/>
          <w:bCs/>
        </w:rPr>
        <w:t xml:space="preserve">Le cadre institutionnel…développé, </w:t>
      </w:r>
      <w:r w:rsidR="000A356E">
        <w:rPr>
          <w:rFonts w:cs="MyriadPro-Bold"/>
          <w:bCs/>
        </w:rPr>
        <w:t xml:space="preserve">les </w:t>
      </w:r>
      <w:r w:rsidR="00380102" w:rsidRPr="00380102">
        <w:rPr>
          <w:rFonts w:cs="MyriadPro-Bold"/>
          <w:bCs/>
        </w:rPr>
        <w:t>capacités</w:t>
      </w:r>
      <w:r w:rsidR="00380102">
        <w:rPr>
          <w:rFonts w:cs="MyriadPro-Bold"/>
          <w:bCs/>
        </w:rPr>
        <w:t>…</w:t>
      </w:r>
      <w:r w:rsidR="00380102" w:rsidRPr="00380102">
        <w:rPr>
          <w:rFonts w:cs="MyriadPro-Bold"/>
          <w:bCs/>
        </w:rPr>
        <w:t>renforcées</w:t>
      </w:r>
      <w:r w:rsidR="00380102">
        <w:rPr>
          <w:rFonts w:cs="MyriadPro-Bold"/>
          <w:bCs/>
        </w:rPr>
        <w:t xml:space="preserve"> et </w:t>
      </w:r>
      <w:r w:rsidR="000A356E">
        <w:rPr>
          <w:rFonts w:cs="MyriadPro-Bold"/>
          <w:bCs/>
        </w:rPr>
        <w:t xml:space="preserve">le </w:t>
      </w:r>
      <w:r w:rsidR="00380102" w:rsidRPr="00380102">
        <w:rPr>
          <w:rFonts w:cs="MyriadPro-Bold"/>
          <w:bCs/>
        </w:rPr>
        <w:t>système de gestion</w:t>
      </w:r>
      <w:r w:rsidR="00380102">
        <w:rPr>
          <w:rFonts w:cs="MyriadPro-Bold"/>
          <w:bCs/>
        </w:rPr>
        <w:t>…</w:t>
      </w:r>
      <w:r w:rsidR="00380102" w:rsidRPr="00380102">
        <w:rPr>
          <w:rFonts w:cs="MyriadPro-Bold"/>
          <w:bCs/>
        </w:rPr>
        <w:t>établi</w:t>
      </w:r>
      <w:r w:rsidR="00380102">
        <w:rPr>
          <w:rFonts w:cs="MyriadPro-Bold"/>
          <w:bCs/>
        </w:rPr>
        <w:t xml:space="preserve">) </w:t>
      </w:r>
      <w:r w:rsidRPr="005E7017">
        <w:rPr>
          <w:rFonts w:cs="MyriadPro-Bold"/>
          <w:bCs/>
        </w:rPr>
        <w:t xml:space="preserve">ont été déclinés dans le cadre du projet. </w:t>
      </w:r>
    </w:p>
    <w:p w:rsidR="004769D7" w:rsidRDefault="004769D7" w:rsidP="000A356E">
      <w:pPr>
        <w:autoSpaceDE w:val="0"/>
        <w:autoSpaceDN w:val="0"/>
        <w:adjustRightInd w:val="0"/>
        <w:spacing w:after="0" w:line="240" w:lineRule="auto"/>
        <w:jc w:val="both"/>
        <w:rPr>
          <w:rFonts w:cs="MyriadPro-Bold"/>
          <w:bCs/>
        </w:rPr>
      </w:pPr>
      <w:r>
        <w:rPr>
          <w:rFonts w:cs="MyriadPro-Bold"/>
          <w:bCs/>
        </w:rPr>
        <w:t xml:space="preserve">Le ciblage des institutions et la définition de leurs rôles et responsabilités dans l’intégration de la démarche IEL dans la planification locale </w:t>
      </w:r>
      <w:r w:rsidR="005E7017" w:rsidRPr="005E7017">
        <w:rPr>
          <w:rFonts w:cs="MyriadPro-Bold"/>
          <w:bCs/>
        </w:rPr>
        <w:t>(résultat 1) s</w:t>
      </w:r>
      <w:r w:rsidR="000A356E">
        <w:rPr>
          <w:rFonts w:cs="MyriadPro-Bold"/>
          <w:bCs/>
        </w:rPr>
        <w:t xml:space="preserve">’impose comme étant le premier pas à accomplir </w:t>
      </w:r>
      <w:r w:rsidR="005E7017" w:rsidRPr="005E7017">
        <w:rPr>
          <w:rFonts w:cs="MyriadPro-Bold"/>
          <w:bCs/>
        </w:rPr>
        <w:t xml:space="preserve">pour le projet en vue d’instaurer une </w:t>
      </w:r>
      <w:r w:rsidR="00315D01">
        <w:rPr>
          <w:rFonts w:cs="MyriadPro-Bold"/>
          <w:bCs/>
        </w:rPr>
        <w:t>coordination entre les</w:t>
      </w:r>
      <w:r>
        <w:rPr>
          <w:rFonts w:cs="MyriadPro-Bold"/>
          <w:bCs/>
        </w:rPr>
        <w:t>institution</w:t>
      </w:r>
      <w:r w:rsidR="00315D01">
        <w:rPr>
          <w:rFonts w:cs="MyriadPro-Bold"/>
          <w:bCs/>
        </w:rPr>
        <w:t>s à la</w:t>
      </w:r>
      <w:r>
        <w:rPr>
          <w:rFonts w:cs="MyriadPro-Bold"/>
          <w:bCs/>
        </w:rPr>
        <w:t xml:space="preserve"> faveur d’une gestion rationnelle de l’environnement au niveau local.</w:t>
      </w:r>
      <w:r w:rsidR="002546B1">
        <w:rPr>
          <w:rFonts w:cs="MyriadPro-Bold"/>
          <w:bCs/>
        </w:rPr>
        <w:t xml:space="preserve"> L’application de la démarche IEL sur le terrain doit être accompagnée par le renforcement des capacités locales des parties prenantes impliquées dans le processus. Ce point est couvert par le résultat 2 du projet. </w:t>
      </w:r>
      <w:r w:rsidR="006836BF">
        <w:rPr>
          <w:rFonts w:cs="MyriadPro-Bold"/>
          <w:bCs/>
        </w:rPr>
        <w:t>Le résultat 3, dans un</w:t>
      </w:r>
      <w:r w:rsidR="00315D01">
        <w:rPr>
          <w:rFonts w:cs="MyriadPro-Bold"/>
          <w:bCs/>
        </w:rPr>
        <w:t xml:space="preserve"> souci de généralisation de l’approche IEL, focalise sur la mise en place d’un mécanisme de gestion des connaissances, de partage de l’information et de dissémination des capacités. </w:t>
      </w:r>
    </w:p>
    <w:p w:rsidR="004769D7" w:rsidRDefault="004769D7" w:rsidP="004769D7">
      <w:pPr>
        <w:autoSpaceDE w:val="0"/>
        <w:autoSpaceDN w:val="0"/>
        <w:adjustRightInd w:val="0"/>
        <w:spacing w:after="0" w:line="240" w:lineRule="auto"/>
        <w:rPr>
          <w:rFonts w:cs="MyriadPro-Bold"/>
          <w:bCs/>
        </w:rPr>
      </w:pPr>
    </w:p>
    <w:p w:rsidR="00AE54CD" w:rsidRDefault="005E7017" w:rsidP="00315D01">
      <w:pPr>
        <w:autoSpaceDE w:val="0"/>
        <w:autoSpaceDN w:val="0"/>
        <w:adjustRightInd w:val="0"/>
        <w:spacing w:after="0" w:line="240" w:lineRule="auto"/>
        <w:jc w:val="both"/>
        <w:rPr>
          <w:rFonts w:cs="MyriadPro-Bold"/>
          <w:bCs/>
        </w:rPr>
      </w:pPr>
      <w:r w:rsidRPr="005E7017">
        <w:rPr>
          <w:rFonts w:cs="MyriadPro-Bold"/>
          <w:bCs/>
        </w:rPr>
        <w:t>A la lumière de ce qui précède, il existe une bonne cohérence entre l’objectif du projet et les résultats attendus.</w:t>
      </w:r>
      <w:r w:rsidR="00FE22DF">
        <w:rPr>
          <w:rFonts w:cs="MyriadPro-Bold"/>
          <w:bCs/>
        </w:rPr>
        <w:t xml:space="preserve"> Cependant, le cadre logique aurait gagné en clarté et en pertinence s’il </w:t>
      </w:r>
      <w:r w:rsidR="004B544F">
        <w:rPr>
          <w:rFonts w:cs="MyriadPro-Bold"/>
          <w:bCs/>
        </w:rPr>
        <w:t xml:space="preserve">avait présenté l’échelle d’intervention du projet (national, pilotes </w:t>
      </w:r>
      <w:r w:rsidR="006836BF">
        <w:rPr>
          <w:rFonts w:cs="MyriadPro-Bold"/>
          <w:bCs/>
        </w:rPr>
        <w:t xml:space="preserve">de </w:t>
      </w:r>
      <w:r w:rsidR="004B544F">
        <w:rPr>
          <w:rFonts w:cs="MyriadPro-Bold"/>
          <w:bCs/>
        </w:rPr>
        <w:t>régions-provinces-communes) ainsi qu’un échéancier de réalisation des résultats : L’échelle d’intervention aurait permis de présenter les critères de choix des pilotes et de fixer le nombre de zones administratives d’intervention (activités qui a consommé beaucoup de temps du projet à cause de la multiplicité des intervenants pour la valider). Quant à l’échéancier, il aurait permis d’ordonnancer les activités retenues et aurait évité les retards de démarrage en focalisant sur les premières étapes de l’exercice.</w:t>
      </w:r>
    </w:p>
    <w:p w:rsidR="00AE54CD" w:rsidRDefault="00AE54CD" w:rsidP="00AD1A5C">
      <w:pPr>
        <w:autoSpaceDE w:val="0"/>
        <w:autoSpaceDN w:val="0"/>
        <w:adjustRightInd w:val="0"/>
        <w:spacing w:after="0" w:line="240" w:lineRule="auto"/>
        <w:rPr>
          <w:rFonts w:cs="MyriadPro-Bold"/>
          <w:bCs/>
        </w:rPr>
      </w:pPr>
    </w:p>
    <w:p w:rsidR="0034651E" w:rsidRPr="00422F33" w:rsidRDefault="0034651E" w:rsidP="0034651E">
      <w:pPr>
        <w:autoSpaceDE w:val="0"/>
        <w:autoSpaceDN w:val="0"/>
        <w:adjustRightInd w:val="0"/>
        <w:spacing w:after="0" w:line="240" w:lineRule="auto"/>
        <w:rPr>
          <w:rFonts w:cs="MyriadPro-Bold"/>
          <w:b/>
          <w:bCs/>
          <w:i/>
        </w:rPr>
      </w:pPr>
      <w:r w:rsidRPr="00422F33">
        <w:rPr>
          <w:rFonts w:cs="MyriadPro-Bold"/>
          <w:b/>
          <w:bCs/>
          <w:i/>
        </w:rPr>
        <w:t xml:space="preserve">Cohérence entre les résultats et les </w:t>
      </w:r>
      <w:r w:rsidR="00FE22DF" w:rsidRPr="00422F33">
        <w:rPr>
          <w:rFonts w:cs="MyriadPro-Bold"/>
          <w:b/>
          <w:bCs/>
          <w:i/>
        </w:rPr>
        <w:t>produits</w:t>
      </w:r>
      <w:r w:rsidRPr="00422F33">
        <w:rPr>
          <w:rFonts w:cs="MyriadPro-Bold"/>
          <w:b/>
          <w:bCs/>
          <w:i/>
        </w:rPr>
        <w:t>/activités établis</w:t>
      </w:r>
    </w:p>
    <w:p w:rsidR="0034651E" w:rsidRDefault="0034651E" w:rsidP="0034651E">
      <w:pPr>
        <w:autoSpaceDE w:val="0"/>
        <w:autoSpaceDN w:val="0"/>
        <w:adjustRightInd w:val="0"/>
        <w:spacing w:after="0" w:line="240" w:lineRule="auto"/>
        <w:jc w:val="both"/>
        <w:rPr>
          <w:rFonts w:cs="MyriadPro-Bold"/>
          <w:bCs/>
        </w:rPr>
      </w:pPr>
      <w:r>
        <w:rPr>
          <w:rFonts w:cs="MyriadPro-Bold"/>
          <w:bCs/>
        </w:rPr>
        <w:t>Généralement</w:t>
      </w:r>
      <w:r w:rsidRPr="0034651E">
        <w:rPr>
          <w:rFonts w:cs="MyriadPro-Bold"/>
          <w:bCs/>
        </w:rPr>
        <w:t xml:space="preserve">, les </w:t>
      </w:r>
      <w:r w:rsidR="00FE22DF">
        <w:rPr>
          <w:rFonts w:cs="MyriadPro-Bold"/>
          <w:bCs/>
        </w:rPr>
        <w:t>produits</w:t>
      </w:r>
      <w:r w:rsidRPr="0034651E">
        <w:rPr>
          <w:rFonts w:cs="MyriadPro-Bold"/>
          <w:bCs/>
        </w:rPr>
        <w:t>/activités permettent l’atteinte des résultats attendus du projet. Ils manquent toutefois, dans certains cas, des précisions et une formulation précise de leur contenu comme donné ci-dessous :</w:t>
      </w:r>
    </w:p>
    <w:p w:rsidR="0034651E" w:rsidRDefault="0034651E" w:rsidP="00AD1A5C">
      <w:pPr>
        <w:autoSpaceDE w:val="0"/>
        <w:autoSpaceDN w:val="0"/>
        <w:adjustRightInd w:val="0"/>
        <w:spacing w:after="0" w:line="240" w:lineRule="auto"/>
        <w:rPr>
          <w:rFonts w:cs="MyriadPro-Bold"/>
          <w:bCs/>
        </w:rPr>
      </w:pPr>
    </w:p>
    <w:tbl>
      <w:tblPr>
        <w:tblStyle w:val="Grilledutableau"/>
        <w:tblW w:w="0" w:type="auto"/>
        <w:tblLook w:val="04A0"/>
      </w:tblPr>
      <w:tblGrid>
        <w:gridCol w:w="4606"/>
        <w:gridCol w:w="4606"/>
      </w:tblGrid>
      <w:tr w:rsidR="00DD2CE6" w:rsidTr="00C60238">
        <w:tc>
          <w:tcPr>
            <w:tcW w:w="9212" w:type="dxa"/>
            <w:gridSpan w:val="2"/>
          </w:tcPr>
          <w:p w:rsidR="00DD2CE6" w:rsidRDefault="00604D3A" w:rsidP="00604D3A">
            <w:pPr>
              <w:autoSpaceDE w:val="0"/>
              <w:autoSpaceDN w:val="0"/>
              <w:adjustRightInd w:val="0"/>
              <w:jc w:val="both"/>
              <w:rPr>
                <w:rFonts w:cs="MyriadPro-Bold"/>
                <w:bCs/>
              </w:rPr>
            </w:pPr>
            <w:r>
              <w:rPr>
                <w:rFonts w:cs="MyriadPro-Bold"/>
                <w:b/>
                <w:bCs/>
              </w:rPr>
              <w:t xml:space="preserve">Résultat 1 : </w:t>
            </w:r>
            <w:r w:rsidR="00DD2CE6" w:rsidRPr="00DD2CE6">
              <w:rPr>
                <w:rFonts w:cs="MyriadPro-Bold"/>
                <w:b/>
                <w:bCs/>
              </w:rPr>
              <w:t>Le cadre institutionnel pour l’intégration de la gestion de l’environnement mondial dans les programmes de l’INDH et dans la planification et le suivi des PCDs est développé.</w:t>
            </w:r>
          </w:p>
        </w:tc>
      </w:tr>
      <w:tr w:rsidR="00FE22DF" w:rsidTr="00FE22DF">
        <w:tc>
          <w:tcPr>
            <w:tcW w:w="4606" w:type="dxa"/>
          </w:tcPr>
          <w:p w:rsidR="00FE22DF" w:rsidRDefault="00FE22DF" w:rsidP="00FE22DF">
            <w:pPr>
              <w:autoSpaceDE w:val="0"/>
              <w:autoSpaceDN w:val="0"/>
              <w:adjustRightInd w:val="0"/>
              <w:rPr>
                <w:rFonts w:cs="MyriadPro-Bold"/>
                <w:bCs/>
              </w:rPr>
            </w:pPr>
            <w:r w:rsidRPr="00FE22DF">
              <w:rPr>
                <w:rFonts w:cs="MyriadPro-Bold"/>
                <w:bCs/>
              </w:rPr>
              <w:t>Produit 1.1 Approches et outils méthodologiques pour intégrer les engagements relatifs à la gestion de l’environnement mondial dans la planification stratégique locale (PCDs) et les programmes de l’INDH sont consolidés et partagés</w:t>
            </w:r>
          </w:p>
        </w:tc>
        <w:tc>
          <w:tcPr>
            <w:tcW w:w="4606" w:type="dxa"/>
          </w:tcPr>
          <w:p w:rsidR="00FE22DF" w:rsidRDefault="00DD2CE6" w:rsidP="00DD2CE6">
            <w:pPr>
              <w:autoSpaceDE w:val="0"/>
              <w:autoSpaceDN w:val="0"/>
              <w:adjustRightInd w:val="0"/>
              <w:rPr>
                <w:rFonts w:cs="MyriadPro-Bold"/>
                <w:bCs/>
              </w:rPr>
            </w:pPr>
            <w:r>
              <w:rPr>
                <w:rFonts w:cs="MyriadPro-Bold"/>
                <w:bCs/>
              </w:rPr>
              <w:t xml:space="preserve">Citer </w:t>
            </w:r>
            <w:r w:rsidR="006836BF">
              <w:rPr>
                <w:rFonts w:cs="MyriadPro-Bold"/>
                <w:bCs/>
              </w:rPr>
              <w:t>‘’</w:t>
            </w:r>
            <w:r w:rsidRPr="006836BF">
              <w:rPr>
                <w:rFonts w:cs="MyriadPro-Bold"/>
                <w:bCs/>
                <w:i/>
              </w:rPr>
              <w:t>les programmes de l’INDH</w:t>
            </w:r>
            <w:r w:rsidR="006836BF">
              <w:rPr>
                <w:rFonts w:cs="MyriadPro-Bold"/>
                <w:bCs/>
              </w:rPr>
              <w:t>’’</w:t>
            </w:r>
            <w:r>
              <w:rPr>
                <w:rFonts w:cs="MyriadPro-Bold"/>
                <w:bCs/>
              </w:rPr>
              <w:t xml:space="preserve"> porte à confusion car le projet cible les ILDH qui sont l’outil de planification au même titre que les PCD.</w:t>
            </w:r>
          </w:p>
          <w:p w:rsidR="00EF3613" w:rsidRDefault="00EF3613" w:rsidP="00EF3613">
            <w:pPr>
              <w:autoSpaceDE w:val="0"/>
              <w:autoSpaceDN w:val="0"/>
              <w:adjustRightInd w:val="0"/>
              <w:rPr>
                <w:rFonts w:cs="MyriadPro-Bold"/>
                <w:bCs/>
              </w:rPr>
            </w:pPr>
            <w:r>
              <w:rPr>
                <w:rFonts w:cs="MyriadPro-Bold"/>
                <w:bCs/>
              </w:rPr>
              <w:t xml:space="preserve">Dans le Produit 2.1 on parle même de projets INDH alors que ces derniers ne sont pas les outils de planification, ils émanent plutôt des ILDH. </w:t>
            </w:r>
          </w:p>
        </w:tc>
      </w:tr>
      <w:tr w:rsidR="00FE22DF" w:rsidTr="00FE22DF">
        <w:tc>
          <w:tcPr>
            <w:tcW w:w="4606" w:type="dxa"/>
          </w:tcPr>
          <w:p w:rsidR="00FE22DF" w:rsidRPr="00FE22DF" w:rsidRDefault="00FE22DF" w:rsidP="00FE22DF">
            <w:pPr>
              <w:autoSpaceDE w:val="0"/>
              <w:autoSpaceDN w:val="0"/>
              <w:adjustRightInd w:val="0"/>
              <w:rPr>
                <w:rFonts w:cs="MyriadPro-Bold"/>
                <w:bCs/>
              </w:rPr>
            </w:pPr>
          </w:p>
          <w:p w:rsidR="00FE22DF" w:rsidRDefault="00FE22DF" w:rsidP="00FE22DF">
            <w:pPr>
              <w:autoSpaceDE w:val="0"/>
              <w:autoSpaceDN w:val="0"/>
              <w:adjustRightInd w:val="0"/>
              <w:rPr>
                <w:rFonts w:cs="MyriadPro-Bold"/>
                <w:bCs/>
              </w:rPr>
            </w:pPr>
            <w:r w:rsidRPr="00FE22DF">
              <w:rPr>
                <w:rFonts w:cs="MyriadPro-Bold"/>
                <w:bCs/>
              </w:rPr>
              <w:t>Produit 1.3 Un système de suivi et une batterie d’indicateurs permettant l’intégration de l’environnement mondial dans les systèmes de suivi des plans communaux de développement (PCDs) des programmes de l’INDH sont établis.</w:t>
            </w:r>
          </w:p>
        </w:tc>
        <w:tc>
          <w:tcPr>
            <w:tcW w:w="4606" w:type="dxa"/>
          </w:tcPr>
          <w:p w:rsidR="00FE22DF" w:rsidRDefault="00EF3613" w:rsidP="00AD1A5C">
            <w:pPr>
              <w:autoSpaceDE w:val="0"/>
              <w:autoSpaceDN w:val="0"/>
              <w:adjustRightInd w:val="0"/>
              <w:rPr>
                <w:rFonts w:cs="MyriadPro-Bold"/>
                <w:bCs/>
              </w:rPr>
            </w:pPr>
            <w:r>
              <w:rPr>
                <w:rFonts w:cs="MyriadPro-Bold"/>
                <w:bCs/>
              </w:rPr>
              <w:t xml:space="preserve">Ce produit est réalisé suite à l’application de l’approche et des outils méthodologiques du Produit 1.1. </w:t>
            </w:r>
          </w:p>
          <w:p w:rsidR="00B03B68" w:rsidRDefault="00EF3613" w:rsidP="00AD1A5C">
            <w:pPr>
              <w:autoSpaceDE w:val="0"/>
              <w:autoSpaceDN w:val="0"/>
              <w:adjustRightInd w:val="0"/>
              <w:rPr>
                <w:rFonts w:cs="MyriadPro-Bold"/>
                <w:bCs/>
              </w:rPr>
            </w:pPr>
            <w:r>
              <w:rPr>
                <w:rFonts w:cs="MyriadPro-Bold"/>
                <w:bCs/>
              </w:rPr>
              <w:t>Cette application nécessite le renforcement préalable des capacités locales sur l’utilisation des outils et ensuite leur application sur des cas concrets pour arriver à définir les indicateurs de suivi selon les spécific</w:t>
            </w:r>
            <w:r w:rsidR="00B03B68">
              <w:rPr>
                <w:rFonts w:cs="MyriadPro-Bold"/>
                <w:bCs/>
              </w:rPr>
              <w:t>ités de chaque région.</w:t>
            </w:r>
          </w:p>
          <w:p w:rsidR="00EF3613" w:rsidRDefault="00B03B68" w:rsidP="00AD1A5C">
            <w:pPr>
              <w:autoSpaceDE w:val="0"/>
              <w:autoSpaceDN w:val="0"/>
              <w:adjustRightInd w:val="0"/>
              <w:rPr>
                <w:rFonts w:cs="MyriadPro-Bold"/>
                <w:bCs/>
              </w:rPr>
            </w:pPr>
            <w:r>
              <w:rPr>
                <w:rFonts w:cs="MyriadPro-Bold"/>
                <w:bCs/>
              </w:rPr>
              <w:t>Tout ce travail nécessite par ailleurs, de connaître le champ d’intervention (national, régional, zones pilotes, etc.).</w:t>
            </w:r>
          </w:p>
          <w:p w:rsidR="00047F39" w:rsidRDefault="00047F39" w:rsidP="00AD1A5C">
            <w:pPr>
              <w:autoSpaceDE w:val="0"/>
              <w:autoSpaceDN w:val="0"/>
              <w:adjustRightInd w:val="0"/>
              <w:rPr>
                <w:rFonts w:cs="MyriadPro-Bold"/>
                <w:bCs/>
              </w:rPr>
            </w:pPr>
            <w:r>
              <w:rPr>
                <w:rFonts w:cs="MyriadPro-Bold"/>
                <w:bCs/>
              </w:rPr>
              <w:t>Ce produit aurait dû figurer comme Produit 2.3 du résultat 2.</w:t>
            </w:r>
          </w:p>
        </w:tc>
      </w:tr>
      <w:tr w:rsidR="001D7D73" w:rsidTr="00C60238">
        <w:tc>
          <w:tcPr>
            <w:tcW w:w="9212" w:type="dxa"/>
            <w:gridSpan w:val="2"/>
          </w:tcPr>
          <w:p w:rsidR="001D7D73" w:rsidRPr="001D7D73" w:rsidRDefault="001D7D73" w:rsidP="00AD1A5C">
            <w:pPr>
              <w:autoSpaceDE w:val="0"/>
              <w:autoSpaceDN w:val="0"/>
              <w:adjustRightInd w:val="0"/>
              <w:rPr>
                <w:rFonts w:cs="MyriadPro-Bold"/>
                <w:b/>
                <w:bCs/>
              </w:rPr>
            </w:pPr>
            <w:r w:rsidRPr="001D7D73">
              <w:rPr>
                <w:rFonts w:cs="MyriadPro-Bold"/>
                <w:b/>
                <w:bCs/>
              </w:rPr>
              <w:t>Résultat 3 : Un système de gestion adaptive et des leçons tirées du projet établi</w:t>
            </w:r>
          </w:p>
        </w:tc>
      </w:tr>
      <w:tr w:rsidR="00FE22DF" w:rsidTr="00FE22DF">
        <w:tc>
          <w:tcPr>
            <w:tcW w:w="4606" w:type="dxa"/>
          </w:tcPr>
          <w:p w:rsidR="00FE22DF" w:rsidRDefault="001D7D73" w:rsidP="00AD1A5C">
            <w:pPr>
              <w:autoSpaceDE w:val="0"/>
              <w:autoSpaceDN w:val="0"/>
              <w:adjustRightInd w:val="0"/>
              <w:rPr>
                <w:rFonts w:cs="MyriadPro-Bold"/>
                <w:bCs/>
              </w:rPr>
            </w:pPr>
            <w:r w:rsidRPr="001D7D73">
              <w:rPr>
                <w:rFonts w:cs="MyriadPro-Bold"/>
                <w:bCs/>
              </w:rPr>
              <w:t>Produit 3.1. Infrastructure de gestion du projet mise en place et opérationnelle.</w:t>
            </w:r>
          </w:p>
        </w:tc>
        <w:tc>
          <w:tcPr>
            <w:tcW w:w="4606" w:type="dxa"/>
          </w:tcPr>
          <w:p w:rsidR="00FE22DF" w:rsidRDefault="001D7D73" w:rsidP="00AD1A5C">
            <w:pPr>
              <w:autoSpaceDE w:val="0"/>
              <w:autoSpaceDN w:val="0"/>
              <w:adjustRightInd w:val="0"/>
              <w:rPr>
                <w:rFonts w:cs="MyriadPro-Bold"/>
                <w:bCs/>
              </w:rPr>
            </w:pPr>
            <w:r>
              <w:rPr>
                <w:rFonts w:cs="MyriadPro-Bold"/>
                <w:bCs/>
              </w:rPr>
              <w:t>Ce produit correspond à la première étape dans la mise en œuvre du projet. La citer dans le résultat 3 porte à confusion, d’autant plus qu’il n’y a pas de plan d’ordonnancement des activités.</w:t>
            </w:r>
          </w:p>
          <w:p w:rsidR="001D7D73" w:rsidRDefault="001D7D73" w:rsidP="00AD1A5C">
            <w:pPr>
              <w:autoSpaceDE w:val="0"/>
              <w:autoSpaceDN w:val="0"/>
              <w:adjustRightInd w:val="0"/>
              <w:rPr>
                <w:rFonts w:cs="MyriadPro-Bold"/>
                <w:bCs/>
              </w:rPr>
            </w:pPr>
            <w:r>
              <w:rPr>
                <w:rFonts w:cs="MyriadPro-Bold"/>
                <w:bCs/>
              </w:rPr>
              <w:t>En outre, ce produit ne semble avoir aucun lien avec l’énoncé du résultat 3. Certes, c’est l’UGP qui est responsable de l’élaboration et de la mise en œuvre du plan de communication mais elle ne constitue pas en soit le système de gestion adaptative.</w:t>
            </w:r>
          </w:p>
          <w:p w:rsidR="001D7D73" w:rsidRDefault="001D7D73" w:rsidP="00AD1A5C">
            <w:pPr>
              <w:autoSpaceDE w:val="0"/>
              <w:autoSpaceDN w:val="0"/>
              <w:adjustRightInd w:val="0"/>
              <w:rPr>
                <w:rFonts w:cs="MyriadPro-Bold"/>
                <w:bCs/>
              </w:rPr>
            </w:pPr>
            <w:r>
              <w:rPr>
                <w:rFonts w:cs="MyriadPro-Bold"/>
                <w:bCs/>
              </w:rPr>
              <w:t>Le produit 3.1 aurait dû figurer dans le résultat 1.</w:t>
            </w:r>
          </w:p>
        </w:tc>
      </w:tr>
    </w:tbl>
    <w:p w:rsidR="00FE22DF" w:rsidRDefault="00FE22DF" w:rsidP="00AD1A5C">
      <w:pPr>
        <w:autoSpaceDE w:val="0"/>
        <w:autoSpaceDN w:val="0"/>
        <w:adjustRightInd w:val="0"/>
        <w:spacing w:after="0" w:line="240" w:lineRule="auto"/>
        <w:rPr>
          <w:rFonts w:cs="MyriadPro-Bold"/>
          <w:bCs/>
        </w:rPr>
      </w:pPr>
    </w:p>
    <w:p w:rsidR="00CD6C71" w:rsidRPr="00422F33" w:rsidRDefault="00CD6C71" w:rsidP="00CD6C71">
      <w:pPr>
        <w:autoSpaceDE w:val="0"/>
        <w:autoSpaceDN w:val="0"/>
        <w:adjustRightInd w:val="0"/>
        <w:spacing w:after="0" w:line="240" w:lineRule="auto"/>
        <w:rPr>
          <w:rFonts w:cs="MyriadPro-Bold"/>
          <w:b/>
          <w:bCs/>
          <w:u w:val="single"/>
        </w:rPr>
      </w:pPr>
      <w:r w:rsidRPr="00422F33">
        <w:rPr>
          <w:rFonts w:cs="MyriadPro-Bold"/>
          <w:b/>
          <w:bCs/>
          <w:u w:val="single"/>
        </w:rPr>
        <w:t>Stratégie du projet</w:t>
      </w:r>
    </w:p>
    <w:p w:rsidR="00046C5C" w:rsidRPr="00046C5C" w:rsidRDefault="00CD6C71" w:rsidP="00046C5C">
      <w:pPr>
        <w:autoSpaceDE w:val="0"/>
        <w:autoSpaceDN w:val="0"/>
        <w:adjustRightInd w:val="0"/>
        <w:spacing w:after="0" w:line="240" w:lineRule="auto"/>
        <w:jc w:val="both"/>
        <w:rPr>
          <w:rFonts w:cs="MyriadPro-Bold"/>
          <w:bCs/>
        </w:rPr>
      </w:pPr>
      <w:r w:rsidRPr="00CD6C71">
        <w:rPr>
          <w:rFonts w:cs="MyriadPro-Bold"/>
          <w:bCs/>
        </w:rPr>
        <w:t xml:space="preserve">Le contexte de mise en </w:t>
      </w:r>
      <w:r w:rsidR="00046C5C" w:rsidRPr="00CD6C71">
        <w:rPr>
          <w:rFonts w:cs="MyriadPro-Bold"/>
          <w:bCs/>
        </w:rPr>
        <w:t>œuvre</w:t>
      </w:r>
      <w:r w:rsidRPr="00CD6C71">
        <w:rPr>
          <w:rFonts w:cs="MyriadPro-Bold"/>
          <w:bCs/>
        </w:rPr>
        <w:t xml:space="preserve"> du projet est marqué, comme cité p</w:t>
      </w:r>
      <w:r w:rsidR="00046C5C">
        <w:rPr>
          <w:rFonts w:cs="MyriadPro-Bold"/>
          <w:bCs/>
        </w:rPr>
        <w:t xml:space="preserve">récédemment, par les conclusions du projet ANCRE selon lequel </w:t>
      </w:r>
      <w:r w:rsidR="00046C5C" w:rsidRPr="00046C5C">
        <w:rPr>
          <w:rFonts w:cs="MyriadPro-Bold"/>
          <w:bCs/>
        </w:rPr>
        <w:t xml:space="preserve">les capacités inadéquates des acteurs locaux constituent un obstacle majeur à l’établissement d’une dynamique pérenne de développement local. </w:t>
      </w:r>
      <w:r w:rsidR="00046C5C">
        <w:rPr>
          <w:rFonts w:cs="MyriadPro-Bold"/>
          <w:bCs/>
        </w:rPr>
        <w:t>C</w:t>
      </w:r>
      <w:r w:rsidR="00046C5C" w:rsidRPr="00046C5C">
        <w:rPr>
          <w:rFonts w:cs="MyriadPro-Bold"/>
          <w:bCs/>
        </w:rPr>
        <w:t xml:space="preserve">es insuffisances contrecarrent la création de synergies propices à la mise en œuvre des trois Conventions et de leur insertion effective dans la réalité des communautés locales. </w:t>
      </w:r>
      <w:r w:rsidR="00035F0B" w:rsidRPr="00CD6C71">
        <w:rPr>
          <w:rFonts w:cs="MyriadPro-Bold"/>
          <w:bCs/>
        </w:rPr>
        <w:t>En vue de faire face à ces lacunes et de permettre au Maroc de répondre à ses obligations vis-à-vis</w:t>
      </w:r>
      <w:r w:rsidR="00035F0B">
        <w:rPr>
          <w:rFonts w:cs="MyriadPro-Bold"/>
          <w:bCs/>
        </w:rPr>
        <w:t xml:space="preserve"> des trois conventions de Rio, le projet a opéré une stratégie d’intervention basée sur 3 principaux résultats : développement du cadre institutionnel, renforcement des capacités locales et partage de l’information et dissémination des capacités.</w:t>
      </w:r>
    </w:p>
    <w:p w:rsidR="00046C5C" w:rsidRPr="00046C5C" w:rsidRDefault="00046C5C" w:rsidP="00046C5C">
      <w:pPr>
        <w:autoSpaceDE w:val="0"/>
        <w:autoSpaceDN w:val="0"/>
        <w:adjustRightInd w:val="0"/>
        <w:spacing w:after="0" w:line="240" w:lineRule="auto"/>
        <w:jc w:val="both"/>
        <w:rPr>
          <w:rFonts w:cs="MyriadPro-Bold"/>
          <w:bCs/>
        </w:rPr>
      </w:pPr>
    </w:p>
    <w:p w:rsidR="00035F0B" w:rsidRDefault="00046C5C" w:rsidP="00046C5C">
      <w:pPr>
        <w:autoSpaceDE w:val="0"/>
        <w:autoSpaceDN w:val="0"/>
        <w:adjustRightInd w:val="0"/>
        <w:spacing w:after="0" w:line="240" w:lineRule="auto"/>
        <w:jc w:val="both"/>
        <w:rPr>
          <w:rFonts w:cs="MyriadPro-Bold"/>
          <w:bCs/>
        </w:rPr>
      </w:pPr>
      <w:r w:rsidRPr="00046C5C">
        <w:rPr>
          <w:rFonts w:cs="MyriadPro-Bold"/>
          <w:bCs/>
        </w:rPr>
        <w:t xml:space="preserve">En dépit de la multiplicité des outils de planification, l’INDH et la planification stratégique locale apparaissent comme </w:t>
      </w:r>
      <w:r w:rsidR="00035F0B">
        <w:rPr>
          <w:rFonts w:cs="MyriadPro-Bold"/>
          <w:bCs/>
        </w:rPr>
        <w:t>les processus les plus complets</w:t>
      </w:r>
      <w:r w:rsidRPr="00046C5C">
        <w:rPr>
          <w:rFonts w:cs="MyriadPro-Bold"/>
          <w:bCs/>
        </w:rPr>
        <w:t>.</w:t>
      </w:r>
      <w:r w:rsidR="00035F0B">
        <w:rPr>
          <w:rFonts w:cs="MyriadPro-Bold"/>
          <w:bCs/>
        </w:rPr>
        <w:t xml:space="preserve"> L</w:t>
      </w:r>
      <w:r w:rsidR="00035F0B" w:rsidRPr="00046C5C">
        <w:rPr>
          <w:rFonts w:cs="MyriadPro-Bold"/>
          <w:bCs/>
        </w:rPr>
        <w:t>es processus de l’INDH et de planification stratégique locale ont adopté une approche globale et intégrée qui tient compte de la décentralisation des structures de l’Etat. Pour toutes ces raisons, ces deux initiatives ont été sélectionnées comme un vecteur puissant pour ce projet.</w:t>
      </w:r>
    </w:p>
    <w:p w:rsidR="00035F0B" w:rsidRDefault="00035F0B" w:rsidP="00046C5C">
      <w:pPr>
        <w:autoSpaceDE w:val="0"/>
        <w:autoSpaceDN w:val="0"/>
        <w:adjustRightInd w:val="0"/>
        <w:spacing w:after="0" w:line="240" w:lineRule="auto"/>
        <w:jc w:val="both"/>
        <w:rPr>
          <w:rFonts w:cs="MyriadPro-Bold"/>
          <w:bCs/>
        </w:rPr>
      </w:pPr>
    </w:p>
    <w:p w:rsidR="00CD6C71" w:rsidRPr="00CD6C71" w:rsidRDefault="00CD6C71" w:rsidP="00046C5C">
      <w:pPr>
        <w:autoSpaceDE w:val="0"/>
        <w:autoSpaceDN w:val="0"/>
        <w:adjustRightInd w:val="0"/>
        <w:spacing w:after="0" w:line="240" w:lineRule="auto"/>
        <w:jc w:val="both"/>
        <w:rPr>
          <w:rFonts w:cs="MyriadPro-Bold"/>
          <w:bCs/>
        </w:rPr>
      </w:pPr>
      <w:r w:rsidRPr="00CD6C71">
        <w:rPr>
          <w:rFonts w:cs="MyriadPro-Bold"/>
          <w:bCs/>
        </w:rPr>
        <w:t xml:space="preserve">L’enchaînement des résultats proposé par le projet </w:t>
      </w:r>
      <w:r w:rsidR="00035F0B">
        <w:rPr>
          <w:rFonts w:cs="MyriadPro-Bold"/>
          <w:bCs/>
        </w:rPr>
        <w:t>CB2</w:t>
      </w:r>
      <w:r w:rsidRPr="00CD6C71">
        <w:rPr>
          <w:rFonts w:cs="MyriadPro-Bold"/>
          <w:bCs/>
        </w:rPr>
        <w:t xml:space="preserve"> présente une logique cohérente permettant d’établir une assise </w:t>
      </w:r>
      <w:r w:rsidR="00035F0B">
        <w:rPr>
          <w:rFonts w:cs="MyriadPro-Bold"/>
          <w:bCs/>
        </w:rPr>
        <w:t>institutionnelle</w:t>
      </w:r>
      <w:r w:rsidRPr="00CD6C71">
        <w:rPr>
          <w:rFonts w:cs="MyriadPro-Bold"/>
          <w:bCs/>
        </w:rPr>
        <w:t xml:space="preserve"> aux activités du projet et leur traduction sur le terrain en action concrète de gestion rationnelle </w:t>
      </w:r>
      <w:r w:rsidR="00035F0B">
        <w:rPr>
          <w:rFonts w:cs="MyriadPro-Bold"/>
          <w:bCs/>
        </w:rPr>
        <w:t>de l’environnement</w:t>
      </w:r>
      <w:r w:rsidRPr="00CD6C71">
        <w:rPr>
          <w:rFonts w:cs="MyriadPro-Bold"/>
          <w:bCs/>
        </w:rPr>
        <w:t>.</w:t>
      </w:r>
    </w:p>
    <w:p w:rsidR="00046C5C" w:rsidRDefault="00046C5C" w:rsidP="00CD6C71">
      <w:pPr>
        <w:autoSpaceDE w:val="0"/>
        <w:autoSpaceDN w:val="0"/>
        <w:adjustRightInd w:val="0"/>
        <w:spacing w:after="0" w:line="240" w:lineRule="auto"/>
        <w:rPr>
          <w:rFonts w:cs="MyriadPro-Bold"/>
          <w:bCs/>
        </w:rPr>
      </w:pPr>
    </w:p>
    <w:p w:rsidR="00E804AC" w:rsidRDefault="00E804AC" w:rsidP="00422F33">
      <w:pPr>
        <w:autoSpaceDE w:val="0"/>
        <w:autoSpaceDN w:val="0"/>
        <w:adjustRightInd w:val="0"/>
        <w:spacing w:after="0" w:line="240" w:lineRule="auto"/>
        <w:jc w:val="both"/>
        <w:rPr>
          <w:rFonts w:cs="MyriadPro-Bold"/>
          <w:bCs/>
        </w:rPr>
      </w:pPr>
      <w:r w:rsidRPr="0019053E">
        <w:rPr>
          <w:rFonts w:cs="MyriadPro-Bold"/>
          <w:bCs/>
        </w:rPr>
        <w:t xml:space="preserve">Il faut aussi souligner que les résultats du projet sont ambitieux par rapport au budget alloué, d’autant plus que l’échelle d’intervention </w:t>
      </w:r>
      <w:r w:rsidR="00E257F4">
        <w:rPr>
          <w:rFonts w:cs="MyriadPro-Bold"/>
          <w:bCs/>
        </w:rPr>
        <w:t>n’a pas été limitée dans le ProD</w:t>
      </w:r>
      <w:r w:rsidRPr="0019053E">
        <w:rPr>
          <w:rFonts w:cs="MyriadPro-Bold"/>
          <w:bCs/>
        </w:rPr>
        <w:t>oc.</w:t>
      </w:r>
      <w:r w:rsidR="0090074D" w:rsidRPr="0019053E">
        <w:rPr>
          <w:rFonts w:cs="MyriadPro-Bold"/>
          <w:bCs/>
        </w:rPr>
        <w:t xml:space="preserve"> Même si le choix s’est </w:t>
      </w:r>
      <w:r w:rsidR="0090074D" w:rsidRPr="0019053E">
        <w:rPr>
          <w:rFonts w:cs="MyriadPro-Bold"/>
          <w:bCs/>
        </w:rPr>
        <w:lastRenderedPageBreak/>
        <w:t xml:space="preserve">porté sur trois régions seulement, leur éloignement et l’absence </w:t>
      </w:r>
      <w:r w:rsidR="0026128D">
        <w:rPr>
          <w:rFonts w:cs="MyriadPro-Bold"/>
          <w:bCs/>
        </w:rPr>
        <w:t>de coordonnateurs locaux</w:t>
      </w:r>
      <w:r w:rsidR="0090074D" w:rsidRPr="0019053E">
        <w:rPr>
          <w:rFonts w:cs="MyriadPro-Bold"/>
          <w:bCs/>
        </w:rPr>
        <w:t xml:space="preserve"> du projet au niveau de ces régions doit avoir un impact sur les délais et les budgets. </w:t>
      </w:r>
      <w:r w:rsidRPr="0019053E">
        <w:rPr>
          <w:rFonts w:cs="MyriadPro-Bold"/>
          <w:bCs/>
        </w:rPr>
        <w:t xml:space="preserve">Cependant, le projet a bénéficié d’un contexte favorable </w:t>
      </w:r>
      <w:r w:rsidR="0090074D" w:rsidRPr="0019053E">
        <w:rPr>
          <w:rFonts w:cs="MyriadPro-Bold"/>
          <w:bCs/>
        </w:rPr>
        <w:t xml:space="preserve">qui a catalysé sa mise en œuvre, </w:t>
      </w:r>
      <w:r w:rsidRPr="0019053E">
        <w:rPr>
          <w:rFonts w:cs="MyriadPro-Bold"/>
          <w:bCs/>
        </w:rPr>
        <w:t>en ce sens que le chantier de régionalisation avancée est en cours et que la Charte Nationale sur l’environnement et le Développement Durable fut adoptée en mars 2014.</w:t>
      </w:r>
    </w:p>
    <w:p w:rsidR="00E804AC" w:rsidRDefault="00E804AC" w:rsidP="00CD6C71">
      <w:pPr>
        <w:autoSpaceDE w:val="0"/>
        <w:autoSpaceDN w:val="0"/>
        <w:adjustRightInd w:val="0"/>
        <w:spacing w:after="0" w:line="240" w:lineRule="auto"/>
        <w:rPr>
          <w:rFonts w:cs="MyriadPro-Bold"/>
          <w:bCs/>
        </w:rPr>
      </w:pPr>
    </w:p>
    <w:p w:rsidR="00AF303D" w:rsidRDefault="00AF303D" w:rsidP="00AF303D">
      <w:pPr>
        <w:autoSpaceDE w:val="0"/>
        <w:autoSpaceDN w:val="0"/>
        <w:adjustRightInd w:val="0"/>
        <w:spacing w:after="0" w:line="240" w:lineRule="auto"/>
        <w:jc w:val="both"/>
        <w:rPr>
          <w:rFonts w:cs="MyriadPro-Bold"/>
          <w:bCs/>
        </w:rPr>
      </w:pPr>
      <w:r>
        <w:rPr>
          <w:rFonts w:cs="MyriadPro-Bold"/>
          <w:bCs/>
        </w:rPr>
        <w:t xml:space="preserve">La stratégie de sortie du projet est en cours d’élaboration (à la date de cette évaluation finale). L’extension de la date de clôture à Septembre 2015 a été demandée </w:t>
      </w:r>
      <w:r w:rsidR="00D5582B">
        <w:rPr>
          <w:rFonts w:cs="MyriadPro-Bold"/>
          <w:bCs/>
        </w:rPr>
        <w:t xml:space="preserve">par l’UGP </w:t>
      </w:r>
      <w:r>
        <w:rPr>
          <w:rFonts w:cs="MyriadPro-Bold"/>
          <w:bCs/>
        </w:rPr>
        <w:t>(et acceptée</w:t>
      </w:r>
      <w:r w:rsidR="00D5582B">
        <w:rPr>
          <w:rFonts w:cs="MyriadPro-Bold"/>
          <w:bCs/>
        </w:rPr>
        <w:t xml:space="preserve"> par le GEF</w:t>
      </w:r>
      <w:r>
        <w:rPr>
          <w:rFonts w:cs="MyriadPro-Bold"/>
          <w:bCs/>
        </w:rPr>
        <w:t>) pour finaliser cette stratégie.</w:t>
      </w:r>
    </w:p>
    <w:p w:rsidR="00AF303D" w:rsidRDefault="00AF303D" w:rsidP="00CD6C71">
      <w:pPr>
        <w:autoSpaceDE w:val="0"/>
        <w:autoSpaceDN w:val="0"/>
        <w:adjustRightInd w:val="0"/>
        <w:spacing w:after="0" w:line="240" w:lineRule="auto"/>
        <w:rPr>
          <w:rFonts w:cs="MyriadPro-Bold"/>
          <w:bCs/>
        </w:rPr>
      </w:pPr>
    </w:p>
    <w:p w:rsidR="00CD6C71" w:rsidRPr="00422F33" w:rsidRDefault="00CD6C71" w:rsidP="00422F33">
      <w:pPr>
        <w:autoSpaceDE w:val="0"/>
        <w:autoSpaceDN w:val="0"/>
        <w:adjustRightInd w:val="0"/>
        <w:spacing w:after="0" w:line="240" w:lineRule="auto"/>
        <w:rPr>
          <w:rFonts w:cs="MyriadPro-Bold"/>
          <w:b/>
          <w:bCs/>
          <w:u w:val="single"/>
        </w:rPr>
      </w:pPr>
      <w:r w:rsidRPr="00422F33">
        <w:rPr>
          <w:rFonts w:cs="MyriadPro-Bold"/>
          <w:b/>
          <w:bCs/>
          <w:u w:val="single"/>
        </w:rPr>
        <w:t>Indicateurs du projet</w:t>
      </w:r>
    </w:p>
    <w:p w:rsidR="00E804AC" w:rsidRDefault="00422F33" w:rsidP="00046C5C">
      <w:pPr>
        <w:autoSpaceDE w:val="0"/>
        <w:autoSpaceDN w:val="0"/>
        <w:adjustRightInd w:val="0"/>
        <w:spacing w:after="0" w:line="240" w:lineRule="auto"/>
        <w:jc w:val="both"/>
        <w:rPr>
          <w:rFonts w:cs="MyriadPro-Bold"/>
          <w:bCs/>
        </w:rPr>
      </w:pPr>
      <w:r>
        <w:rPr>
          <w:rFonts w:cs="MyriadPro-Bold"/>
          <w:bCs/>
        </w:rPr>
        <w:t>L</w:t>
      </w:r>
      <w:r w:rsidR="00CD6C71" w:rsidRPr="00CD6C71">
        <w:rPr>
          <w:rFonts w:cs="MyriadPro-Bold"/>
          <w:bCs/>
        </w:rPr>
        <w:t>a présence dans le cadre logique de cibles appuie le choix d'indicateurs mesurables. En effet, les cibles sont pour la plupart spécifiques, réalistes, atteignables et quantifiables dans le temps, donc mesurables sur la période du projet. Ceci permet une évaluation des réalisations du projet par rapport aux condi</w:t>
      </w:r>
      <w:r w:rsidR="00E804AC">
        <w:rPr>
          <w:rFonts w:cs="MyriadPro-Bold"/>
          <w:bCs/>
        </w:rPr>
        <w:t>tions de référence au démarrage.</w:t>
      </w:r>
    </w:p>
    <w:p w:rsidR="00E804AC" w:rsidRDefault="00E804AC" w:rsidP="00046C5C">
      <w:pPr>
        <w:autoSpaceDE w:val="0"/>
        <w:autoSpaceDN w:val="0"/>
        <w:adjustRightInd w:val="0"/>
        <w:spacing w:after="0" w:line="240" w:lineRule="auto"/>
        <w:jc w:val="both"/>
        <w:rPr>
          <w:rFonts w:cs="MyriadPro-Bold"/>
          <w:bCs/>
        </w:rPr>
      </w:pPr>
    </w:p>
    <w:p w:rsidR="00CD6C71" w:rsidRDefault="00D62259" w:rsidP="00046C5C">
      <w:pPr>
        <w:autoSpaceDE w:val="0"/>
        <w:autoSpaceDN w:val="0"/>
        <w:adjustRightInd w:val="0"/>
        <w:spacing w:after="0" w:line="240" w:lineRule="auto"/>
        <w:jc w:val="both"/>
        <w:rPr>
          <w:rFonts w:cs="MyriadPro-Bold"/>
          <w:bCs/>
        </w:rPr>
      </w:pPr>
      <w:r>
        <w:rPr>
          <w:rFonts w:cs="MyriadPro-Bold"/>
          <w:bCs/>
        </w:rPr>
        <w:t>L’analyse qui suit permet de relever les incohérences dans la formulation des indicateurs et-ou de leurs cibles, elle permet également de vérifier si le choix des indicateurs est conforme ou pas par rapport à l’approche SMART.</w:t>
      </w:r>
      <w:r w:rsidR="00F944BC">
        <w:rPr>
          <w:rFonts w:cs="MyriadPro-Bold"/>
          <w:bCs/>
        </w:rPr>
        <w:t xml:space="preserve"> Le tableau ci-dessous se lit avec la légende suivante :</w:t>
      </w:r>
    </w:p>
    <w:p w:rsidR="00B07E13" w:rsidRDefault="00B07E13" w:rsidP="00B07E13">
      <w:pPr>
        <w:autoSpaceDE w:val="0"/>
        <w:autoSpaceDN w:val="0"/>
        <w:adjustRightInd w:val="0"/>
        <w:spacing w:after="0" w:line="240" w:lineRule="auto"/>
        <w:jc w:val="both"/>
        <w:rPr>
          <w:rFonts w:cs="MyriadPro-Bold"/>
          <w:bCs/>
        </w:rPr>
      </w:pPr>
    </w:p>
    <w:tbl>
      <w:tblPr>
        <w:tblStyle w:val="Grilledutableau"/>
        <w:tblW w:w="0" w:type="auto"/>
        <w:tblLook w:val="04A0"/>
      </w:tblPr>
      <w:tblGrid>
        <w:gridCol w:w="5211"/>
      </w:tblGrid>
      <w:tr w:rsidR="0019053E" w:rsidTr="0019053E">
        <w:tc>
          <w:tcPr>
            <w:tcW w:w="5211" w:type="dxa"/>
          </w:tcPr>
          <w:p w:rsidR="0019053E" w:rsidRDefault="0019053E" w:rsidP="0019053E">
            <w:pPr>
              <w:autoSpaceDE w:val="0"/>
              <w:autoSpaceDN w:val="0"/>
              <w:adjustRightInd w:val="0"/>
              <w:jc w:val="both"/>
              <w:rPr>
                <w:rFonts w:eastAsia="Times New Roman" w:cs="Times New Roman"/>
                <w:sz w:val="20"/>
                <w:szCs w:val="20"/>
              </w:rPr>
            </w:pPr>
            <w:r w:rsidRPr="00F944BC">
              <w:rPr>
                <w:rFonts w:ascii="Times New Roman" w:eastAsia="Times New Roman" w:hAnsi="Times New Roman" w:cs="Times New Roman"/>
                <w:color w:val="00B050"/>
                <w:sz w:val="32"/>
                <w:szCs w:val="32"/>
              </w:rPr>
              <w:sym w:font="Wingdings" w:char="F0C2"/>
            </w:r>
            <w:r w:rsidRPr="00F944BC">
              <w:rPr>
                <w:rFonts w:eastAsia="Times New Roman" w:cs="Times New Roman"/>
                <w:sz w:val="20"/>
                <w:szCs w:val="20"/>
              </w:rPr>
              <w:t>Indicateur SMART</w:t>
            </w:r>
            <w:r>
              <w:rPr>
                <w:rFonts w:eastAsia="Times New Roman" w:cs="Times New Roman"/>
                <w:sz w:val="20"/>
                <w:szCs w:val="20"/>
              </w:rPr>
              <w:t xml:space="preserve"> (5 critères couverts)</w:t>
            </w:r>
          </w:p>
          <w:p w:rsidR="0019053E" w:rsidRPr="00F944BC" w:rsidRDefault="0019053E" w:rsidP="0019053E">
            <w:pPr>
              <w:autoSpaceDE w:val="0"/>
              <w:autoSpaceDN w:val="0"/>
              <w:adjustRightInd w:val="0"/>
              <w:jc w:val="both"/>
              <w:rPr>
                <w:rFonts w:eastAsia="Times New Roman" w:cs="Times New Roman"/>
                <w:sz w:val="20"/>
                <w:szCs w:val="20"/>
              </w:rPr>
            </w:pPr>
            <w:r w:rsidRPr="0053766D">
              <w:rPr>
                <w:rFonts w:ascii="Times New Roman" w:eastAsia="Times New Roman" w:hAnsi="Times New Roman" w:cs="Times New Roman"/>
                <w:color w:val="FFFF00"/>
                <w:sz w:val="32"/>
                <w:szCs w:val="32"/>
              </w:rPr>
              <w:sym w:font="Wingdings" w:char="F0C2"/>
            </w:r>
            <w:r w:rsidRPr="00F944BC">
              <w:rPr>
                <w:rFonts w:eastAsia="Times New Roman" w:cs="Times New Roman"/>
                <w:sz w:val="20"/>
                <w:szCs w:val="20"/>
              </w:rPr>
              <w:t>Indicateur partiellement SMART (3 à 4 critères couverts)</w:t>
            </w:r>
          </w:p>
          <w:p w:rsidR="0019053E" w:rsidRPr="0019053E" w:rsidRDefault="0019053E" w:rsidP="00B07E13">
            <w:pPr>
              <w:autoSpaceDE w:val="0"/>
              <w:autoSpaceDN w:val="0"/>
              <w:adjustRightInd w:val="0"/>
              <w:jc w:val="both"/>
              <w:rPr>
                <w:rFonts w:cs="MyriadPro-Bold"/>
                <w:bCs/>
                <w:sz w:val="20"/>
                <w:szCs w:val="20"/>
              </w:rPr>
            </w:pPr>
            <w:r w:rsidRPr="0053766D">
              <w:rPr>
                <w:rFonts w:ascii="Times New Roman" w:eastAsia="Times New Roman" w:hAnsi="Times New Roman" w:cs="Times New Roman"/>
                <w:color w:val="C00000"/>
                <w:sz w:val="32"/>
                <w:szCs w:val="32"/>
              </w:rPr>
              <w:sym w:font="Wingdings" w:char="F0C2"/>
            </w:r>
            <w:r w:rsidRPr="00F944BC">
              <w:rPr>
                <w:rFonts w:eastAsia="Times New Roman" w:cs="Times New Roman"/>
                <w:sz w:val="20"/>
                <w:szCs w:val="20"/>
              </w:rPr>
              <w:t>Indicateur non SMART (2 critères couverts)</w:t>
            </w:r>
          </w:p>
        </w:tc>
      </w:tr>
    </w:tbl>
    <w:p w:rsidR="0019053E" w:rsidRDefault="0019053E" w:rsidP="00B07E13">
      <w:pPr>
        <w:autoSpaceDE w:val="0"/>
        <w:autoSpaceDN w:val="0"/>
        <w:adjustRightInd w:val="0"/>
        <w:spacing w:after="0" w:line="240" w:lineRule="auto"/>
        <w:jc w:val="both"/>
        <w:rPr>
          <w:rFonts w:cs="MyriadPro-Bold"/>
          <w:bCs/>
        </w:rPr>
      </w:pPr>
    </w:p>
    <w:p w:rsidR="00D62259" w:rsidRDefault="00D62259" w:rsidP="00046C5C">
      <w:pPr>
        <w:autoSpaceDE w:val="0"/>
        <w:autoSpaceDN w:val="0"/>
        <w:adjustRightInd w:val="0"/>
        <w:spacing w:after="0" w:line="240" w:lineRule="auto"/>
        <w:jc w:val="both"/>
        <w:rPr>
          <w:rFonts w:cs="MyriadPro-Bold"/>
          <w:bCs/>
        </w:rPr>
      </w:pPr>
    </w:p>
    <w:p w:rsidR="00D62259" w:rsidRPr="00604D3A" w:rsidRDefault="00D62259" w:rsidP="00D62259">
      <w:pPr>
        <w:autoSpaceDE w:val="0"/>
        <w:autoSpaceDN w:val="0"/>
        <w:adjustRightInd w:val="0"/>
        <w:spacing w:after="0" w:line="240" w:lineRule="auto"/>
        <w:jc w:val="both"/>
        <w:rPr>
          <w:rFonts w:cs="MyriadPro-Bold"/>
          <w:b/>
          <w:bCs/>
          <w:i/>
        </w:rPr>
      </w:pPr>
      <w:r w:rsidRPr="00604D3A">
        <w:rPr>
          <w:rFonts w:cs="MyriadPro-Bold"/>
          <w:b/>
          <w:bCs/>
          <w:i/>
        </w:rPr>
        <w:t>Résultat 1 : Le cadre institutionnel pour l’intégration de la gestion de l’environnement mondial dans les programmes de l’INDH et dans la planification et le suivi des PCDs est développé.</w:t>
      </w:r>
    </w:p>
    <w:tbl>
      <w:tblPr>
        <w:tblStyle w:val="Grilledutableau"/>
        <w:tblW w:w="0" w:type="auto"/>
        <w:tblLook w:val="04A0"/>
      </w:tblPr>
      <w:tblGrid>
        <w:gridCol w:w="3480"/>
        <w:gridCol w:w="1590"/>
        <w:gridCol w:w="4218"/>
      </w:tblGrid>
      <w:tr w:rsidR="00B07E13" w:rsidRPr="00854799" w:rsidTr="00854799">
        <w:tc>
          <w:tcPr>
            <w:tcW w:w="3480" w:type="dxa"/>
            <w:shd w:val="clear" w:color="auto" w:fill="auto"/>
          </w:tcPr>
          <w:p w:rsidR="00B07E13" w:rsidRPr="00854799" w:rsidRDefault="00B07E13" w:rsidP="00854799">
            <w:pPr>
              <w:autoSpaceDE w:val="0"/>
              <w:autoSpaceDN w:val="0"/>
              <w:adjustRightInd w:val="0"/>
              <w:jc w:val="center"/>
              <w:rPr>
                <w:rFonts w:cs="MyriadPro-Bold"/>
                <w:b/>
                <w:bCs/>
              </w:rPr>
            </w:pPr>
            <w:r w:rsidRPr="00854799">
              <w:rPr>
                <w:rFonts w:cs="MyriadPro-Bold"/>
                <w:b/>
                <w:bCs/>
              </w:rPr>
              <w:t>Indicateur</w:t>
            </w:r>
          </w:p>
        </w:tc>
        <w:tc>
          <w:tcPr>
            <w:tcW w:w="1590" w:type="dxa"/>
            <w:shd w:val="clear" w:color="auto" w:fill="auto"/>
          </w:tcPr>
          <w:p w:rsidR="00B07E13" w:rsidRPr="00854799" w:rsidRDefault="00B07E13" w:rsidP="00854799">
            <w:pPr>
              <w:autoSpaceDE w:val="0"/>
              <w:autoSpaceDN w:val="0"/>
              <w:adjustRightInd w:val="0"/>
              <w:jc w:val="center"/>
              <w:rPr>
                <w:rFonts w:eastAsia="Times New Roman" w:cs="Times New Roman"/>
                <w:b/>
                <w:color w:val="FFFF00"/>
              </w:rPr>
            </w:pPr>
            <w:r w:rsidRPr="00854799">
              <w:rPr>
                <w:rFonts w:eastAsia="Times New Roman" w:cs="Times New Roman"/>
                <w:b/>
              </w:rPr>
              <w:t>Évaluation</w:t>
            </w:r>
          </w:p>
        </w:tc>
        <w:tc>
          <w:tcPr>
            <w:tcW w:w="4218" w:type="dxa"/>
            <w:shd w:val="clear" w:color="auto" w:fill="auto"/>
          </w:tcPr>
          <w:p w:rsidR="00B07E13" w:rsidRPr="00854799" w:rsidRDefault="00B07E13" w:rsidP="00854799">
            <w:pPr>
              <w:autoSpaceDE w:val="0"/>
              <w:autoSpaceDN w:val="0"/>
              <w:adjustRightInd w:val="0"/>
              <w:jc w:val="center"/>
              <w:rPr>
                <w:rFonts w:cs="MyriadPro-Bold"/>
                <w:b/>
                <w:bCs/>
              </w:rPr>
            </w:pPr>
            <w:r w:rsidRPr="00854799">
              <w:rPr>
                <w:rFonts w:cs="MyriadPro-Bold"/>
                <w:b/>
                <w:bCs/>
              </w:rPr>
              <w:t>Commenta</w:t>
            </w:r>
            <w:r w:rsidR="00452958" w:rsidRPr="00854799">
              <w:rPr>
                <w:rFonts w:cs="MyriadPro-Bold"/>
                <w:b/>
                <w:bCs/>
              </w:rPr>
              <w:t>i</w:t>
            </w:r>
            <w:r w:rsidRPr="00854799">
              <w:rPr>
                <w:rFonts w:cs="MyriadPro-Bold"/>
                <w:b/>
                <w:bCs/>
              </w:rPr>
              <w:t>res</w:t>
            </w:r>
          </w:p>
        </w:tc>
      </w:tr>
      <w:tr w:rsidR="00B07E13" w:rsidTr="007F25CD">
        <w:tc>
          <w:tcPr>
            <w:tcW w:w="3480" w:type="dxa"/>
          </w:tcPr>
          <w:p w:rsidR="00B07E13" w:rsidRDefault="00B07E13" w:rsidP="00CD6C71">
            <w:pPr>
              <w:autoSpaceDE w:val="0"/>
              <w:autoSpaceDN w:val="0"/>
              <w:adjustRightInd w:val="0"/>
              <w:rPr>
                <w:rFonts w:cs="MyriadPro-Bold"/>
                <w:bCs/>
              </w:rPr>
            </w:pPr>
            <w:r w:rsidRPr="0053766D">
              <w:rPr>
                <w:rFonts w:cs="MyriadPro-Bold"/>
                <w:bCs/>
              </w:rPr>
              <w:t>Nombre d’outils et de procédures pour l’intégration de l’environnement dans les processus des PCD et de l’INDH élaborés et adoptées.</w:t>
            </w:r>
          </w:p>
        </w:tc>
        <w:tc>
          <w:tcPr>
            <w:tcW w:w="1590" w:type="dxa"/>
          </w:tcPr>
          <w:p w:rsidR="00B07E13" w:rsidRDefault="00B07E13" w:rsidP="00CD6C71">
            <w:pPr>
              <w:autoSpaceDE w:val="0"/>
              <w:autoSpaceDN w:val="0"/>
              <w:adjustRightInd w:val="0"/>
              <w:rPr>
                <w:rFonts w:cs="MyriadPro-Bold"/>
                <w:bCs/>
              </w:rPr>
            </w:pPr>
            <w:r w:rsidRPr="0053766D">
              <w:rPr>
                <w:rFonts w:ascii="Times New Roman" w:eastAsia="Times New Roman" w:hAnsi="Times New Roman" w:cs="Times New Roman"/>
                <w:color w:val="FFFF00"/>
                <w:sz w:val="32"/>
                <w:szCs w:val="32"/>
              </w:rPr>
              <w:sym w:font="Wingdings" w:char="F0C2"/>
            </w:r>
            <w:r w:rsidRPr="00F944BC">
              <w:rPr>
                <w:rFonts w:eastAsia="Times New Roman" w:cs="Times New Roman"/>
                <w:sz w:val="20"/>
                <w:szCs w:val="20"/>
              </w:rPr>
              <w:t xml:space="preserve"> partiellement SMART (3 à 4 critères couverts)</w:t>
            </w:r>
          </w:p>
        </w:tc>
        <w:tc>
          <w:tcPr>
            <w:tcW w:w="4218" w:type="dxa"/>
          </w:tcPr>
          <w:p w:rsidR="00B07E13" w:rsidRPr="007F25CD" w:rsidRDefault="00B07E13" w:rsidP="007F25CD">
            <w:pPr>
              <w:pStyle w:val="Paragraphedeliste"/>
              <w:numPr>
                <w:ilvl w:val="0"/>
                <w:numId w:val="6"/>
              </w:numPr>
              <w:autoSpaceDE w:val="0"/>
              <w:autoSpaceDN w:val="0"/>
              <w:adjustRightInd w:val="0"/>
              <w:rPr>
                <w:rFonts w:cs="MyriadPro-Bold"/>
                <w:bCs/>
              </w:rPr>
            </w:pPr>
            <w:r w:rsidRPr="007F25CD">
              <w:rPr>
                <w:rFonts w:cs="MyriadPro-Bold"/>
                <w:bCs/>
              </w:rPr>
              <w:t xml:space="preserve">Spécifique car l’action est clairement établie. </w:t>
            </w:r>
          </w:p>
          <w:p w:rsidR="00B07E13" w:rsidRPr="007F25CD" w:rsidRDefault="00B07E13" w:rsidP="007F25CD">
            <w:pPr>
              <w:pStyle w:val="Paragraphedeliste"/>
              <w:numPr>
                <w:ilvl w:val="0"/>
                <w:numId w:val="6"/>
              </w:numPr>
              <w:autoSpaceDE w:val="0"/>
              <w:autoSpaceDN w:val="0"/>
              <w:adjustRightInd w:val="0"/>
              <w:rPr>
                <w:rFonts w:cs="MyriadPro-Bold"/>
                <w:bCs/>
              </w:rPr>
            </w:pPr>
            <w:r w:rsidRPr="007F25CD">
              <w:rPr>
                <w:rFonts w:cs="MyriadPro-Bold"/>
                <w:bCs/>
              </w:rPr>
              <w:t>Mesurable car sa cible fixe à 5 le nombre d’outils.</w:t>
            </w:r>
          </w:p>
          <w:p w:rsidR="00B07E13" w:rsidRPr="007F25CD" w:rsidRDefault="00B07E13" w:rsidP="007F25CD">
            <w:pPr>
              <w:pStyle w:val="Paragraphedeliste"/>
              <w:numPr>
                <w:ilvl w:val="0"/>
                <w:numId w:val="6"/>
              </w:numPr>
              <w:autoSpaceDE w:val="0"/>
              <w:autoSpaceDN w:val="0"/>
              <w:adjustRightInd w:val="0"/>
              <w:rPr>
                <w:rFonts w:cs="MyriadPro-Bold"/>
                <w:bCs/>
              </w:rPr>
            </w:pPr>
            <w:r w:rsidRPr="007F25CD">
              <w:rPr>
                <w:rFonts w:cs="MyriadPro-Bold"/>
                <w:bCs/>
              </w:rPr>
              <w:t>Son accessibilité ne peut être évaluée car les outils ne sont pas spécifiés (outils complexes ou simples ?)</w:t>
            </w:r>
          </w:p>
          <w:p w:rsidR="00B07E13" w:rsidRPr="007F25CD" w:rsidRDefault="00B07E13" w:rsidP="007F25CD">
            <w:pPr>
              <w:pStyle w:val="Paragraphedeliste"/>
              <w:numPr>
                <w:ilvl w:val="0"/>
                <w:numId w:val="6"/>
              </w:numPr>
              <w:autoSpaceDE w:val="0"/>
              <w:autoSpaceDN w:val="0"/>
              <w:adjustRightInd w:val="0"/>
              <w:rPr>
                <w:rFonts w:cs="MyriadPro-Bold"/>
                <w:bCs/>
              </w:rPr>
            </w:pPr>
            <w:r w:rsidRPr="007F25CD">
              <w:rPr>
                <w:rFonts w:cs="MyriadPro-Bold"/>
                <w:bCs/>
              </w:rPr>
              <w:t>Pertinent car rattaché directement à l’activité</w:t>
            </w:r>
          </w:p>
          <w:p w:rsidR="00B07E13" w:rsidRPr="007F25CD" w:rsidRDefault="00B07E13" w:rsidP="007F25CD">
            <w:pPr>
              <w:pStyle w:val="Paragraphedeliste"/>
              <w:numPr>
                <w:ilvl w:val="0"/>
                <w:numId w:val="6"/>
              </w:numPr>
              <w:autoSpaceDE w:val="0"/>
              <w:autoSpaceDN w:val="0"/>
              <w:adjustRightInd w:val="0"/>
              <w:rPr>
                <w:rFonts w:cs="MyriadPro-Bold"/>
                <w:bCs/>
              </w:rPr>
            </w:pPr>
            <w:r w:rsidRPr="007F25CD">
              <w:rPr>
                <w:rFonts w:cs="MyriadPro-Bold"/>
                <w:bCs/>
              </w:rPr>
              <w:t xml:space="preserve">Non limité dans le temps </w:t>
            </w:r>
          </w:p>
        </w:tc>
      </w:tr>
      <w:tr w:rsidR="007F25CD" w:rsidTr="007F25CD">
        <w:tc>
          <w:tcPr>
            <w:tcW w:w="3480" w:type="dxa"/>
          </w:tcPr>
          <w:p w:rsidR="007F25CD" w:rsidRDefault="007F25CD" w:rsidP="0053766D">
            <w:pPr>
              <w:rPr>
                <w:rFonts w:cs="MyriadPro-Bold"/>
                <w:bCs/>
              </w:rPr>
            </w:pPr>
            <w:r w:rsidRPr="0053766D">
              <w:rPr>
                <w:rFonts w:cs="MyriadPro-Bold"/>
                <w:bCs/>
              </w:rPr>
              <w:t xml:space="preserve">Un mécanisme </w:t>
            </w:r>
            <w:r w:rsidR="0026128D" w:rsidRPr="0053766D">
              <w:rPr>
                <w:rFonts w:cs="MyriadPro-Bold"/>
                <w:bCs/>
              </w:rPr>
              <w:t>de coordination</w:t>
            </w:r>
            <w:r w:rsidRPr="0053766D">
              <w:rPr>
                <w:rFonts w:cs="MyriadPro-Bold"/>
                <w:bCs/>
              </w:rPr>
              <w:t xml:space="preserve"> entre les institutions clés concernées par l’intégration de l’environnement mondial dans </w:t>
            </w:r>
            <w:r>
              <w:rPr>
                <w:rFonts w:cs="MyriadPro-Bold"/>
                <w:bCs/>
              </w:rPr>
              <w:t xml:space="preserve">les PCD) </w:t>
            </w:r>
            <w:r w:rsidR="0026128D">
              <w:rPr>
                <w:rFonts w:cs="MyriadPro-Bold"/>
                <w:bCs/>
              </w:rPr>
              <w:t>et l’INDH</w:t>
            </w:r>
            <w:r>
              <w:rPr>
                <w:rFonts w:cs="MyriadPro-Bold"/>
                <w:bCs/>
              </w:rPr>
              <w:t xml:space="preserve"> est établi</w:t>
            </w:r>
            <w:r w:rsidR="00452958">
              <w:rPr>
                <w:rFonts w:cs="MyriadPro-Bold"/>
                <w:bCs/>
              </w:rPr>
              <w:t>.</w:t>
            </w:r>
          </w:p>
        </w:tc>
        <w:tc>
          <w:tcPr>
            <w:tcW w:w="1590" w:type="dxa"/>
          </w:tcPr>
          <w:p w:rsidR="007F25CD" w:rsidRDefault="007F25CD" w:rsidP="00CD6C71">
            <w:pPr>
              <w:autoSpaceDE w:val="0"/>
              <w:autoSpaceDN w:val="0"/>
              <w:adjustRightInd w:val="0"/>
              <w:rPr>
                <w:rFonts w:cs="MyriadPro-Bold"/>
                <w:bCs/>
              </w:rPr>
            </w:pPr>
            <w:r w:rsidRPr="0053766D">
              <w:rPr>
                <w:rFonts w:ascii="Times New Roman" w:eastAsia="Times New Roman" w:hAnsi="Times New Roman" w:cs="Times New Roman"/>
                <w:color w:val="FFFF00"/>
                <w:sz w:val="32"/>
                <w:szCs w:val="32"/>
              </w:rPr>
              <w:sym w:font="Wingdings" w:char="F0C2"/>
            </w:r>
            <w:r w:rsidRPr="00F944BC">
              <w:rPr>
                <w:rFonts w:eastAsia="Times New Roman" w:cs="Times New Roman"/>
                <w:sz w:val="20"/>
                <w:szCs w:val="20"/>
              </w:rPr>
              <w:t xml:space="preserve"> partiellement SMART (3 à 4 critères couverts)</w:t>
            </w:r>
          </w:p>
        </w:tc>
        <w:tc>
          <w:tcPr>
            <w:tcW w:w="4218" w:type="dxa"/>
          </w:tcPr>
          <w:p w:rsidR="007F25CD" w:rsidRPr="007F25CD" w:rsidRDefault="007F25CD" w:rsidP="007F25CD">
            <w:pPr>
              <w:pStyle w:val="Paragraphedeliste"/>
              <w:numPr>
                <w:ilvl w:val="0"/>
                <w:numId w:val="6"/>
              </w:numPr>
              <w:autoSpaceDE w:val="0"/>
              <w:autoSpaceDN w:val="0"/>
              <w:adjustRightInd w:val="0"/>
              <w:rPr>
                <w:rFonts w:cs="MyriadPro-Bold"/>
                <w:bCs/>
              </w:rPr>
            </w:pPr>
            <w:r w:rsidRPr="007F25CD">
              <w:rPr>
                <w:rFonts w:cs="MyriadPro-Bold"/>
                <w:bCs/>
              </w:rPr>
              <w:t xml:space="preserve">Spécifique car l’action est clairement établie. </w:t>
            </w:r>
          </w:p>
          <w:p w:rsidR="007F25CD" w:rsidRPr="007F25CD" w:rsidRDefault="007F25CD" w:rsidP="007F25CD">
            <w:pPr>
              <w:pStyle w:val="Paragraphedeliste"/>
              <w:numPr>
                <w:ilvl w:val="0"/>
                <w:numId w:val="6"/>
              </w:numPr>
              <w:autoSpaceDE w:val="0"/>
              <w:autoSpaceDN w:val="0"/>
              <w:adjustRightInd w:val="0"/>
              <w:rPr>
                <w:rFonts w:cs="MyriadPro-Bold"/>
                <w:bCs/>
              </w:rPr>
            </w:pPr>
            <w:r>
              <w:rPr>
                <w:rFonts w:cs="MyriadPro-Bold"/>
                <w:bCs/>
              </w:rPr>
              <w:t>Mesurable car sa cible fixe à 1</w:t>
            </w:r>
            <w:r w:rsidRPr="007F25CD">
              <w:rPr>
                <w:rFonts w:cs="MyriadPro-Bold"/>
                <w:bCs/>
              </w:rPr>
              <w:t xml:space="preserve"> le nombre d</w:t>
            </w:r>
            <w:r>
              <w:rPr>
                <w:rFonts w:cs="MyriadPro-Bold"/>
                <w:bCs/>
              </w:rPr>
              <w:t>e mécanismes</w:t>
            </w:r>
            <w:r w:rsidRPr="007F25CD">
              <w:rPr>
                <w:rFonts w:cs="MyriadPro-Bold"/>
                <w:bCs/>
              </w:rPr>
              <w:t>.</w:t>
            </w:r>
          </w:p>
          <w:p w:rsidR="007F25CD" w:rsidRPr="007F25CD" w:rsidRDefault="007F25CD" w:rsidP="007F25CD">
            <w:pPr>
              <w:pStyle w:val="Paragraphedeliste"/>
              <w:numPr>
                <w:ilvl w:val="0"/>
                <w:numId w:val="6"/>
              </w:numPr>
              <w:autoSpaceDE w:val="0"/>
              <w:autoSpaceDN w:val="0"/>
              <w:adjustRightInd w:val="0"/>
              <w:rPr>
                <w:rFonts w:cs="MyriadPro-Bold"/>
                <w:bCs/>
              </w:rPr>
            </w:pPr>
            <w:r w:rsidRPr="007F25CD">
              <w:rPr>
                <w:rFonts w:cs="MyriadPro-Bold"/>
                <w:bCs/>
              </w:rPr>
              <w:t>Son accessibilité ne peut être évaluée car le</w:t>
            </w:r>
            <w:r>
              <w:rPr>
                <w:rFonts w:cs="MyriadPro-Bold"/>
                <w:bCs/>
              </w:rPr>
              <w:t xml:space="preserve"> mécanisme n’est pas spécifié </w:t>
            </w:r>
            <w:r w:rsidRPr="007F25CD">
              <w:rPr>
                <w:rFonts w:cs="MyriadPro-Bold"/>
                <w:bCs/>
              </w:rPr>
              <w:t>(</w:t>
            </w:r>
            <w:r>
              <w:rPr>
                <w:rFonts w:cs="MyriadPro-Bold"/>
                <w:bCs/>
              </w:rPr>
              <w:t>comple</w:t>
            </w:r>
            <w:r w:rsidRPr="007F25CD">
              <w:rPr>
                <w:rFonts w:cs="MyriadPro-Bold"/>
                <w:bCs/>
              </w:rPr>
              <w:t>xe ou simple ?)</w:t>
            </w:r>
          </w:p>
          <w:p w:rsidR="007F25CD" w:rsidRPr="007F25CD" w:rsidRDefault="007F25CD" w:rsidP="007F25CD">
            <w:pPr>
              <w:pStyle w:val="Paragraphedeliste"/>
              <w:numPr>
                <w:ilvl w:val="0"/>
                <w:numId w:val="6"/>
              </w:numPr>
              <w:autoSpaceDE w:val="0"/>
              <w:autoSpaceDN w:val="0"/>
              <w:adjustRightInd w:val="0"/>
              <w:rPr>
                <w:rFonts w:cs="MyriadPro-Bold"/>
                <w:bCs/>
              </w:rPr>
            </w:pPr>
            <w:r w:rsidRPr="007F25CD">
              <w:rPr>
                <w:rFonts w:cs="MyriadPro-Bold"/>
                <w:bCs/>
              </w:rPr>
              <w:t>Pertinent car rattaché directement à l’activité</w:t>
            </w:r>
          </w:p>
          <w:p w:rsidR="007F25CD" w:rsidRPr="007F25CD" w:rsidRDefault="007F25CD" w:rsidP="007F25CD">
            <w:pPr>
              <w:pStyle w:val="Paragraphedeliste"/>
              <w:numPr>
                <w:ilvl w:val="0"/>
                <w:numId w:val="6"/>
              </w:numPr>
              <w:autoSpaceDE w:val="0"/>
              <w:autoSpaceDN w:val="0"/>
              <w:adjustRightInd w:val="0"/>
              <w:rPr>
                <w:rFonts w:cs="MyriadPro-Bold"/>
                <w:bCs/>
              </w:rPr>
            </w:pPr>
            <w:r w:rsidRPr="007F25CD">
              <w:rPr>
                <w:rFonts w:cs="MyriadPro-Bold"/>
                <w:bCs/>
              </w:rPr>
              <w:t xml:space="preserve">Non limité dans le temps </w:t>
            </w:r>
          </w:p>
        </w:tc>
      </w:tr>
      <w:tr w:rsidR="00452958" w:rsidTr="007F25CD">
        <w:tc>
          <w:tcPr>
            <w:tcW w:w="3480" w:type="dxa"/>
          </w:tcPr>
          <w:p w:rsidR="00452958" w:rsidRDefault="00452958" w:rsidP="00CD6C71">
            <w:pPr>
              <w:autoSpaceDE w:val="0"/>
              <w:autoSpaceDN w:val="0"/>
              <w:adjustRightInd w:val="0"/>
              <w:rPr>
                <w:rFonts w:cs="MyriadPro-Bold"/>
                <w:bCs/>
              </w:rPr>
            </w:pPr>
            <w:r w:rsidRPr="0053766D">
              <w:rPr>
                <w:rFonts w:cs="MyriadPro-Bold"/>
                <w:bCs/>
              </w:rPr>
              <w:t xml:space="preserve">Un système de suivi et une batterie d’indicateurs des avancées vers les </w:t>
            </w:r>
            <w:r w:rsidRPr="0053766D">
              <w:rPr>
                <w:rFonts w:cs="MyriadPro-Bold"/>
                <w:bCs/>
              </w:rPr>
              <w:lastRenderedPageBreak/>
              <w:t>cibles de l’environnement mondial       (inclus les indicateurs budgétaires) sont établis pour les PCDs et les programmes de l’INDH</w:t>
            </w:r>
            <w:r>
              <w:rPr>
                <w:rFonts w:cs="MyriadPro-Bold"/>
                <w:bCs/>
              </w:rPr>
              <w:t>.</w:t>
            </w:r>
          </w:p>
        </w:tc>
        <w:tc>
          <w:tcPr>
            <w:tcW w:w="1590" w:type="dxa"/>
          </w:tcPr>
          <w:p w:rsidR="00452958" w:rsidRDefault="00452958" w:rsidP="00C60238">
            <w:pPr>
              <w:autoSpaceDE w:val="0"/>
              <w:autoSpaceDN w:val="0"/>
              <w:adjustRightInd w:val="0"/>
              <w:rPr>
                <w:rFonts w:cs="MyriadPro-Bold"/>
                <w:bCs/>
              </w:rPr>
            </w:pPr>
            <w:r w:rsidRPr="0053766D">
              <w:rPr>
                <w:rFonts w:ascii="Times New Roman" w:eastAsia="Times New Roman" w:hAnsi="Times New Roman" w:cs="Times New Roman"/>
                <w:color w:val="FFFF00"/>
                <w:sz w:val="32"/>
                <w:szCs w:val="32"/>
              </w:rPr>
              <w:lastRenderedPageBreak/>
              <w:sym w:font="Wingdings" w:char="F0C2"/>
            </w:r>
            <w:r w:rsidRPr="00F944BC">
              <w:rPr>
                <w:rFonts w:eastAsia="Times New Roman" w:cs="Times New Roman"/>
                <w:sz w:val="20"/>
                <w:szCs w:val="20"/>
              </w:rPr>
              <w:t xml:space="preserve"> partiellement </w:t>
            </w:r>
            <w:r w:rsidRPr="00F944BC">
              <w:rPr>
                <w:rFonts w:eastAsia="Times New Roman" w:cs="Times New Roman"/>
                <w:sz w:val="20"/>
                <w:szCs w:val="20"/>
              </w:rPr>
              <w:lastRenderedPageBreak/>
              <w:t>SMART (3 à 4 critères couverts)</w:t>
            </w:r>
          </w:p>
        </w:tc>
        <w:tc>
          <w:tcPr>
            <w:tcW w:w="4218" w:type="dxa"/>
          </w:tcPr>
          <w:p w:rsidR="00452958" w:rsidRPr="007F25CD" w:rsidRDefault="00452958" w:rsidP="00452958">
            <w:pPr>
              <w:pStyle w:val="Paragraphedeliste"/>
              <w:numPr>
                <w:ilvl w:val="0"/>
                <w:numId w:val="6"/>
              </w:numPr>
              <w:autoSpaceDE w:val="0"/>
              <w:autoSpaceDN w:val="0"/>
              <w:adjustRightInd w:val="0"/>
              <w:rPr>
                <w:rFonts w:cs="MyriadPro-Bold"/>
                <w:bCs/>
              </w:rPr>
            </w:pPr>
            <w:r w:rsidRPr="00452958">
              <w:rPr>
                <w:rFonts w:cs="MyriadPro-Bold"/>
                <w:bCs/>
              </w:rPr>
              <w:lastRenderedPageBreak/>
              <w:t>Spécifique car l’action est clairement établie</w:t>
            </w:r>
            <w:r w:rsidRPr="007F25CD">
              <w:rPr>
                <w:rFonts w:cs="MyriadPro-Bold"/>
                <w:bCs/>
              </w:rPr>
              <w:t xml:space="preserve">. </w:t>
            </w:r>
          </w:p>
          <w:p w:rsidR="00452958" w:rsidRPr="007F25CD" w:rsidRDefault="00452958" w:rsidP="00C60238">
            <w:pPr>
              <w:pStyle w:val="Paragraphedeliste"/>
              <w:numPr>
                <w:ilvl w:val="0"/>
                <w:numId w:val="6"/>
              </w:numPr>
              <w:autoSpaceDE w:val="0"/>
              <w:autoSpaceDN w:val="0"/>
              <w:adjustRightInd w:val="0"/>
              <w:rPr>
                <w:rFonts w:cs="MyriadPro-Bold"/>
                <w:bCs/>
              </w:rPr>
            </w:pPr>
            <w:r>
              <w:rPr>
                <w:rFonts w:cs="MyriadPro-Bold"/>
                <w:bCs/>
              </w:rPr>
              <w:lastRenderedPageBreak/>
              <w:t>Mesurable car sa cible fixe à 1</w:t>
            </w:r>
            <w:r w:rsidRPr="007F25CD">
              <w:rPr>
                <w:rFonts w:cs="MyriadPro-Bold"/>
                <w:bCs/>
              </w:rPr>
              <w:t xml:space="preserve"> le nombre d</w:t>
            </w:r>
            <w:r>
              <w:rPr>
                <w:rFonts w:cs="MyriadPro-Bold"/>
                <w:bCs/>
              </w:rPr>
              <w:t xml:space="preserve">e systèmes de suivi et à 10 le nombre d’indicateurs. </w:t>
            </w:r>
          </w:p>
          <w:p w:rsidR="00452958" w:rsidRPr="007F25CD" w:rsidRDefault="00452958" w:rsidP="00703FAD">
            <w:pPr>
              <w:pStyle w:val="Paragraphedeliste"/>
              <w:numPr>
                <w:ilvl w:val="0"/>
                <w:numId w:val="6"/>
              </w:numPr>
              <w:autoSpaceDE w:val="0"/>
              <w:autoSpaceDN w:val="0"/>
              <w:adjustRightInd w:val="0"/>
              <w:rPr>
                <w:rFonts w:cs="MyriadPro-Bold"/>
                <w:bCs/>
              </w:rPr>
            </w:pPr>
            <w:r w:rsidRPr="007F25CD">
              <w:rPr>
                <w:rFonts w:cs="MyriadPro-Bold"/>
                <w:bCs/>
              </w:rPr>
              <w:t xml:space="preserve">Son accessibilité ne peut être évaluée car </w:t>
            </w:r>
            <w:r>
              <w:rPr>
                <w:rFonts w:cs="MyriadPro-Bold"/>
                <w:bCs/>
              </w:rPr>
              <w:t>l</w:t>
            </w:r>
            <w:r w:rsidRPr="00703FAD">
              <w:rPr>
                <w:rFonts w:cs="MyriadPro-Bold"/>
                <w:bCs/>
              </w:rPr>
              <w:t xml:space="preserve">e système de suivi et les </w:t>
            </w:r>
            <w:r>
              <w:rPr>
                <w:rFonts w:cs="MyriadPro-Bold"/>
                <w:bCs/>
              </w:rPr>
              <w:t xml:space="preserve">indicateurs ne sont pas définis </w:t>
            </w:r>
            <w:r w:rsidRPr="007F25CD">
              <w:rPr>
                <w:rFonts w:cs="MyriadPro-Bold"/>
                <w:bCs/>
              </w:rPr>
              <w:t>(</w:t>
            </w:r>
            <w:r>
              <w:rPr>
                <w:rFonts w:cs="MyriadPro-Bold"/>
                <w:bCs/>
              </w:rPr>
              <w:t>comple</w:t>
            </w:r>
            <w:r w:rsidRPr="007F25CD">
              <w:rPr>
                <w:rFonts w:cs="MyriadPro-Bold"/>
                <w:bCs/>
              </w:rPr>
              <w:t>xe</w:t>
            </w:r>
            <w:r>
              <w:rPr>
                <w:rFonts w:cs="MyriadPro-Bold"/>
                <w:bCs/>
              </w:rPr>
              <w:t>s</w:t>
            </w:r>
            <w:r w:rsidRPr="007F25CD">
              <w:rPr>
                <w:rFonts w:cs="MyriadPro-Bold"/>
                <w:bCs/>
              </w:rPr>
              <w:t xml:space="preserve"> ou simple</w:t>
            </w:r>
            <w:r>
              <w:rPr>
                <w:rFonts w:cs="MyriadPro-Bold"/>
                <w:bCs/>
              </w:rPr>
              <w:t>s</w:t>
            </w:r>
            <w:r w:rsidRPr="007F25CD">
              <w:rPr>
                <w:rFonts w:cs="MyriadPro-Bold"/>
                <w:bCs/>
              </w:rPr>
              <w:t> ?)</w:t>
            </w:r>
          </w:p>
          <w:p w:rsidR="00452958" w:rsidRPr="007F25CD" w:rsidRDefault="00452958" w:rsidP="00C60238">
            <w:pPr>
              <w:pStyle w:val="Paragraphedeliste"/>
              <w:numPr>
                <w:ilvl w:val="0"/>
                <w:numId w:val="6"/>
              </w:numPr>
              <w:autoSpaceDE w:val="0"/>
              <w:autoSpaceDN w:val="0"/>
              <w:adjustRightInd w:val="0"/>
              <w:rPr>
                <w:rFonts w:cs="MyriadPro-Bold"/>
                <w:bCs/>
              </w:rPr>
            </w:pPr>
            <w:r w:rsidRPr="007F25CD">
              <w:rPr>
                <w:rFonts w:cs="MyriadPro-Bold"/>
                <w:bCs/>
              </w:rPr>
              <w:t>Pertinent car rattaché directement à l’activité</w:t>
            </w:r>
          </w:p>
          <w:p w:rsidR="00452958" w:rsidRPr="007F25CD" w:rsidRDefault="00452958" w:rsidP="00C60238">
            <w:pPr>
              <w:pStyle w:val="Paragraphedeliste"/>
              <w:numPr>
                <w:ilvl w:val="0"/>
                <w:numId w:val="6"/>
              </w:numPr>
              <w:autoSpaceDE w:val="0"/>
              <w:autoSpaceDN w:val="0"/>
              <w:adjustRightInd w:val="0"/>
              <w:rPr>
                <w:rFonts w:cs="MyriadPro-Bold"/>
                <w:bCs/>
              </w:rPr>
            </w:pPr>
            <w:r w:rsidRPr="007F25CD">
              <w:rPr>
                <w:rFonts w:cs="MyriadPro-Bold"/>
                <w:bCs/>
              </w:rPr>
              <w:t xml:space="preserve">Non limité dans le temps </w:t>
            </w:r>
          </w:p>
        </w:tc>
      </w:tr>
    </w:tbl>
    <w:p w:rsidR="00E804AC" w:rsidRDefault="00E804AC" w:rsidP="00CD6C71">
      <w:pPr>
        <w:autoSpaceDE w:val="0"/>
        <w:autoSpaceDN w:val="0"/>
        <w:adjustRightInd w:val="0"/>
        <w:spacing w:after="0" w:line="240" w:lineRule="auto"/>
        <w:rPr>
          <w:rFonts w:cs="MyriadPro-Bold"/>
          <w:bCs/>
        </w:rPr>
      </w:pPr>
    </w:p>
    <w:p w:rsidR="00452958" w:rsidRPr="00604D3A" w:rsidRDefault="00452958" w:rsidP="00452958">
      <w:pPr>
        <w:autoSpaceDE w:val="0"/>
        <w:autoSpaceDN w:val="0"/>
        <w:adjustRightInd w:val="0"/>
        <w:spacing w:after="0" w:line="240" w:lineRule="auto"/>
        <w:rPr>
          <w:rFonts w:cs="MyriadPro-Bold"/>
          <w:b/>
          <w:bCs/>
          <w:i/>
        </w:rPr>
      </w:pPr>
      <w:r w:rsidRPr="00604D3A">
        <w:rPr>
          <w:rFonts w:cs="MyriadPro-Bold"/>
          <w:b/>
          <w:bCs/>
          <w:i/>
        </w:rPr>
        <w:t>Résultat 2 : Les capacités pour l’intégration systématique des cibles environnementales mondiales dans la planification locale sont renforcées.</w:t>
      </w:r>
    </w:p>
    <w:p w:rsidR="00452958" w:rsidRDefault="00452958" w:rsidP="00CD6C71">
      <w:pPr>
        <w:autoSpaceDE w:val="0"/>
        <w:autoSpaceDN w:val="0"/>
        <w:adjustRightInd w:val="0"/>
        <w:spacing w:after="0" w:line="240" w:lineRule="auto"/>
        <w:rPr>
          <w:rFonts w:cs="MyriadPro-Bold"/>
          <w:bCs/>
        </w:rPr>
      </w:pPr>
    </w:p>
    <w:tbl>
      <w:tblPr>
        <w:tblStyle w:val="Grilledutableau"/>
        <w:tblW w:w="0" w:type="auto"/>
        <w:tblLook w:val="04A0"/>
      </w:tblPr>
      <w:tblGrid>
        <w:gridCol w:w="3510"/>
        <w:gridCol w:w="1560"/>
        <w:gridCol w:w="4142"/>
      </w:tblGrid>
      <w:tr w:rsidR="00452958" w:rsidRPr="00854799" w:rsidTr="00854799">
        <w:tc>
          <w:tcPr>
            <w:tcW w:w="3510" w:type="dxa"/>
            <w:shd w:val="clear" w:color="auto" w:fill="auto"/>
          </w:tcPr>
          <w:p w:rsidR="00452958" w:rsidRPr="00854799" w:rsidRDefault="00452958" w:rsidP="00854799">
            <w:pPr>
              <w:autoSpaceDE w:val="0"/>
              <w:autoSpaceDN w:val="0"/>
              <w:adjustRightInd w:val="0"/>
              <w:jc w:val="center"/>
              <w:rPr>
                <w:rFonts w:cs="MyriadPro-Bold"/>
                <w:b/>
                <w:bCs/>
              </w:rPr>
            </w:pPr>
            <w:r w:rsidRPr="00854799">
              <w:rPr>
                <w:rFonts w:cs="MyriadPro-Bold"/>
                <w:b/>
                <w:bCs/>
              </w:rPr>
              <w:t>Indicateurs</w:t>
            </w:r>
          </w:p>
        </w:tc>
        <w:tc>
          <w:tcPr>
            <w:tcW w:w="1560" w:type="dxa"/>
            <w:shd w:val="clear" w:color="auto" w:fill="auto"/>
          </w:tcPr>
          <w:p w:rsidR="00452958" w:rsidRPr="00854799" w:rsidRDefault="00452958" w:rsidP="00854799">
            <w:pPr>
              <w:autoSpaceDE w:val="0"/>
              <w:autoSpaceDN w:val="0"/>
              <w:adjustRightInd w:val="0"/>
              <w:jc w:val="center"/>
              <w:rPr>
                <w:rFonts w:cs="MyriadPro-Bold"/>
                <w:b/>
                <w:bCs/>
              </w:rPr>
            </w:pPr>
            <w:r w:rsidRPr="00854799">
              <w:rPr>
                <w:rFonts w:cs="MyriadPro-Bold"/>
                <w:b/>
                <w:bCs/>
              </w:rPr>
              <w:t>Évaluation</w:t>
            </w:r>
          </w:p>
        </w:tc>
        <w:tc>
          <w:tcPr>
            <w:tcW w:w="4142" w:type="dxa"/>
            <w:shd w:val="clear" w:color="auto" w:fill="auto"/>
          </w:tcPr>
          <w:p w:rsidR="00452958" w:rsidRPr="00854799" w:rsidRDefault="00452958" w:rsidP="00854799">
            <w:pPr>
              <w:autoSpaceDE w:val="0"/>
              <w:autoSpaceDN w:val="0"/>
              <w:adjustRightInd w:val="0"/>
              <w:jc w:val="center"/>
              <w:rPr>
                <w:rFonts w:cs="MyriadPro-Bold"/>
                <w:b/>
                <w:bCs/>
              </w:rPr>
            </w:pPr>
            <w:r w:rsidRPr="00854799">
              <w:rPr>
                <w:rFonts w:cs="MyriadPro-Bold"/>
                <w:b/>
                <w:bCs/>
              </w:rPr>
              <w:t>Commentaires</w:t>
            </w:r>
          </w:p>
        </w:tc>
      </w:tr>
      <w:tr w:rsidR="00FB2148" w:rsidTr="00452958">
        <w:tc>
          <w:tcPr>
            <w:tcW w:w="3510" w:type="dxa"/>
          </w:tcPr>
          <w:p w:rsidR="00FB2148" w:rsidRDefault="00FB2148" w:rsidP="00CD6C71">
            <w:pPr>
              <w:autoSpaceDE w:val="0"/>
              <w:autoSpaceDN w:val="0"/>
              <w:adjustRightInd w:val="0"/>
              <w:rPr>
                <w:rFonts w:cs="MyriadPro-Bold"/>
                <w:bCs/>
              </w:rPr>
            </w:pPr>
            <w:r w:rsidRPr="00452958">
              <w:rPr>
                <w:rFonts w:cs="MyriadPro-Bold"/>
                <w:bCs/>
              </w:rPr>
              <w:t>Nombre d’acteurs clés en charge de l’INDH et des PCD qui disposent des capacités pour l’intégration des priorités de l’environnement mondial.</w:t>
            </w:r>
          </w:p>
        </w:tc>
        <w:tc>
          <w:tcPr>
            <w:tcW w:w="1560" w:type="dxa"/>
          </w:tcPr>
          <w:p w:rsidR="00FB2148" w:rsidRDefault="00FB2148" w:rsidP="00C60238">
            <w:pPr>
              <w:autoSpaceDE w:val="0"/>
              <w:autoSpaceDN w:val="0"/>
              <w:adjustRightInd w:val="0"/>
              <w:rPr>
                <w:rFonts w:cs="MyriadPro-Bold"/>
                <w:bCs/>
              </w:rPr>
            </w:pPr>
            <w:r w:rsidRPr="0053766D">
              <w:rPr>
                <w:rFonts w:ascii="Times New Roman" w:eastAsia="Times New Roman" w:hAnsi="Times New Roman" w:cs="Times New Roman"/>
                <w:color w:val="FFFF00"/>
                <w:sz w:val="32"/>
                <w:szCs w:val="32"/>
              </w:rPr>
              <w:sym w:font="Wingdings" w:char="F0C2"/>
            </w:r>
            <w:r w:rsidRPr="00F944BC">
              <w:rPr>
                <w:rFonts w:eastAsia="Times New Roman" w:cs="Times New Roman"/>
                <w:sz w:val="20"/>
                <w:szCs w:val="20"/>
              </w:rPr>
              <w:t xml:space="preserve"> partiellement SMART (3 à 4 critères couverts)</w:t>
            </w:r>
          </w:p>
        </w:tc>
        <w:tc>
          <w:tcPr>
            <w:tcW w:w="4142" w:type="dxa"/>
          </w:tcPr>
          <w:p w:rsidR="00FB2148" w:rsidRPr="007F25CD" w:rsidRDefault="00FB2148" w:rsidP="00C60238">
            <w:pPr>
              <w:pStyle w:val="Paragraphedeliste"/>
              <w:numPr>
                <w:ilvl w:val="0"/>
                <w:numId w:val="6"/>
              </w:numPr>
              <w:autoSpaceDE w:val="0"/>
              <w:autoSpaceDN w:val="0"/>
              <w:adjustRightInd w:val="0"/>
              <w:rPr>
                <w:rFonts w:cs="MyriadPro-Bold"/>
                <w:bCs/>
              </w:rPr>
            </w:pPr>
            <w:r w:rsidRPr="00452958">
              <w:rPr>
                <w:rFonts w:cs="MyriadPro-Bold"/>
                <w:bCs/>
              </w:rPr>
              <w:t>Spécifique car l’action est clairement établie</w:t>
            </w:r>
            <w:r w:rsidRPr="007F25CD">
              <w:rPr>
                <w:rFonts w:cs="MyriadPro-Bold"/>
                <w:bCs/>
              </w:rPr>
              <w:t xml:space="preserve">. </w:t>
            </w:r>
          </w:p>
          <w:p w:rsidR="00FB2148" w:rsidRPr="007F25CD" w:rsidRDefault="00FB2148" w:rsidP="00C60238">
            <w:pPr>
              <w:pStyle w:val="Paragraphedeliste"/>
              <w:numPr>
                <w:ilvl w:val="0"/>
                <w:numId w:val="6"/>
              </w:numPr>
              <w:autoSpaceDE w:val="0"/>
              <w:autoSpaceDN w:val="0"/>
              <w:adjustRightInd w:val="0"/>
              <w:rPr>
                <w:rFonts w:cs="MyriadPro-Bold"/>
                <w:bCs/>
              </w:rPr>
            </w:pPr>
            <w:r>
              <w:rPr>
                <w:rFonts w:cs="MyriadPro-Bold"/>
                <w:bCs/>
              </w:rPr>
              <w:t xml:space="preserve">Mesurable car sa cible fixe à 20 institutions et 200 cadres clés. </w:t>
            </w:r>
          </w:p>
          <w:p w:rsidR="00FB2148" w:rsidRPr="007F25CD" w:rsidRDefault="00FB2148" w:rsidP="00C60238">
            <w:pPr>
              <w:pStyle w:val="Paragraphedeliste"/>
              <w:numPr>
                <w:ilvl w:val="0"/>
                <w:numId w:val="6"/>
              </w:numPr>
              <w:autoSpaceDE w:val="0"/>
              <w:autoSpaceDN w:val="0"/>
              <w:adjustRightInd w:val="0"/>
              <w:rPr>
                <w:rFonts w:cs="MyriadPro-Bold"/>
                <w:bCs/>
              </w:rPr>
            </w:pPr>
            <w:r>
              <w:rPr>
                <w:rFonts w:cs="MyriadPro-Bold"/>
                <w:bCs/>
              </w:rPr>
              <w:t>Accessible et réalisable</w:t>
            </w:r>
          </w:p>
          <w:p w:rsidR="00FB2148" w:rsidRPr="007F25CD" w:rsidRDefault="00FB2148" w:rsidP="00C60238">
            <w:pPr>
              <w:pStyle w:val="Paragraphedeliste"/>
              <w:numPr>
                <w:ilvl w:val="0"/>
                <w:numId w:val="6"/>
              </w:numPr>
              <w:autoSpaceDE w:val="0"/>
              <w:autoSpaceDN w:val="0"/>
              <w:adjustRightInd w:val="0"/>
              <w:rPr>
                <w:rFonts w:cs="MyriadPro-Bold"/>
                <w:bCs/>
              </w:rPr>
            </w:pPr>
            <w:r w:rsidRPr="007F25CD">
              <w:rPr>
                <w:rFonts w:cs="MyriadPro-Bold"/>
                <w:bCs/>
              </w:rPr>
              <w:t>Pertinent car rattaché directement à l’activité</w:t>
            </w:r>
          </w:p>
          <w:p w:rsidR="00FB2148" w:rsidRPr="007F25CD" w:rsidRDefault="00FB2148" w:rsidP="00C60238">
            <w:pPr>
              <w:pStyle w:val="Paragraphedeliste"/>
              <w:numPr>
                <w:ilvl w:val="0"/>
                <w:numId w:val="6"/>
              </w:numPr>
              <w:autoSpaceDE w:val="0"/>
              <w:autoSpaceDN w:val="0"/>
              <w:adjustRightInd w:val="0"/>
              <w:rPr>
                <w:rFonts w:cs="MyriadPro-Bold"/>
                <w:bCs/>
              </w:rPr>
            </w:pPr>
            <w:r w:rsidRPr="007F25CD">
              <w:rPr>
                <w:rFonts w:cs="MyriadPro-Bold"/>
                <w:bCs/>
              </w:rPr>
              <w:t xml:space="preserve">Non limité dans le temps </w:t>
            </w:r>
          </w:p>
        </w:tc>
      </w:tr>
      <w:tr w:rsidR="00C04CDC" w:rsidTr="00452958">
        <w:tc>
          <w:tcPr>
            <w:tcW w:w="3510" w:type="dxa"/>
          </w:tcPr>
          <w:p w:rsidR="00C04CDC" w:rsidRDefault="00C04CDC" w:rsidP="00CD6C71">
            <w:pPr>
              <w:autoSpaceDE w:val="0"/>
              <w:autoSpaceDN w:val="0"/>
              <w:adjustRightInd w:val="0"/>
              <w:rPr>
                <w:rFonts w:cs="MyriadPro-Bold"/>
                <w:bCs/>
              </w:rPr>
            </w:pPr>
            <w:r w:rsidRPr="00C04CDC">
              <w:rPr>
                <w:rFonts w:cs="MyriadPro-Bold"/>
                <w:bCs/>
              </w:rPr>
              <w:t>Degré d’intégration des priorités de la gestion environnementale mondiale dans l’INDH et les PCD.</w:t>
            </w:r>
          </w:p>
        </w:tc>
        <w:tc>
          <w:tcPr>
            <w:tcW w:w="1560" w:type="dxa"/>
          </w:tcPr>
          <w:p w:rsidR="00C04CDC" w:rsidRDefault="00C04CDC" w:rsidP="00C60238">
            <w:pPr>
              <w:autoSpaceDE w:val="0"/>
              <w:autoSpaceDN w:val="0"/>
              <w:adjustRightInd w:val="0"/>
              <w:rPr>
                <w:rFonts w:cs="MyriadPro-Bold"/>
                <w:bCs/>
              </w:rPr>
            </w:pPr>
            <w:r w:rsidRPr="0053766D">
              <w:rPr>
                <w:rFonts w:ascii="Times New Roman" w:eastAsia="Times New Roman" w:hAnsi="Times New Roman" w:cs="Times New Roman"/>
                <w:color w:val="FFFF00"/>
                <w:sz w:val="32"/>
                <w:szCs w:val="32"/>
              </w:rPr>
              <w:sym w:font="Wingdings" w:char="F0C2"/>
            </w:r>
            <w:r w:rsidRPr="00F944BC">
              <w:rPr>
                <w:rFonts w:eastAsia="Times New Roman" w:cs="Times New Roman"/>
                <w:sz w:val="20"/>
                <w:szCs w:val="20"/>
              </w:rPr>
              <w:t xml:space="preserve"> partiellement SMART (3 à 4 critères couverts)</w:t>
            </w:r>
          </w:p>
        </w:tc>
        <w:tc>
          <w:tcPr>
            <w:tcW w:w="4142" w:type="dxa"/>
          </w:tcPr>
          <w:p w:rsidR="00C04CDC" w:rsidRPr="007F25CD" w:rsidRDefault="00C04CDC" w:rsidP="00C60238">
            <w:pPr>
              <w:pStyle w:val="Paragraphedeliste"/>
              <w:numPr>
                <w:ilvl w:val="0"/>
                <w:numId w:val="6"/>
              </w:numPr>
              <w:autoSpaceDE w:val="0"/>
              <w:autoSpaceDN w:val="0"/>
              <w:adjustRightInd w:val="0"/>
              <w:rPr>
                <w:rFonts w:cs="MyriadPro-Bold"/>
                <w:bCs/>
              </w:rPr>
            </w:pPr>
            <w:r w:rsidRPr="00452958">
              <w:rPr>
                <w:rFonts w:cs="MyriadPro-Bold"/>
                <w:bCs/>
              </w:rPr>
              <w:t>Spécifique car l’action est clairement établie</w:t>
            </w:r>
            <w:r w:rsidRPr="007F25CD">
              <w:rPr>
                <w:rFonts w:cs="MyriadPro-Bold"/>
                <w:bCs/>
              </w:rPr>
              <w:t xml:space="preserve">. </w:t>
            </w:r>
          </w:p>
          <w:p w:rsidR="00C04CDC" w:rsidRPr="007F25CD" w:rsidRDefault="00C04CDC" w:rsidP="00C60238">
            <w:pPr>
              <w:pStyle w:val="Paragraphedeliste"/>
              <w:numPr>
                <w:ilvl w:val="0"/>
                <w:numId w:val="6"/>
              </w:numPr>
              <w:autoSpaceDE w:val="0"/>
              <w:autoSpaceDN w:val="0"/>
              <w:adjustRightInd w:val="0"/>
              <w:rPr>
                <w:rFonts w:cs="MyriadPro-Bold"/>
                <w:bCs/>
              </w:rPr>
            </w:pPr>
            <w:r>
              <w:rPr>
                <w:rFonts w:cs="MyriadPro-Bold"/>
                <w:bCs/>
              </w:rPr>
              <w:t>Mesurable car sa cible fixe à au moins 4 PCD et 10 initiatives INDH qui intègrent systématiquement l’approche IEL</w:t>
            </w:r>
          </w:p>
          <w:p w:rsidR="00C04CDC" w:rsidRPr="007F25CD" w:rsidRDefault="00C04CDC" w:rsidP="00C60238">
            <w:pPr>
              <w:pStyle w:val="Paragraphedeliste"/>
              <w:numPr>
                <w:ilvl w:val="0"/>
                <w:numId w:val="6"/>
              </w:numPr>
              <w:autoSpaceDE w:val="0"/>
              <w:autoSpaceDN w:val="0"/>
              <w:adjustRightInd w:val="0"/>
              <w:rPr>
                <w:rFonts w:cs="MyriadPro-Bold"/>
                <w:bCs/>
              </w:rPr>
            </w:pPr>
            <w:r>
              <w:rPr>
                <w:rFonts w:cs="MyriadPro-Bold"/>
                <w:bCs/>
              </w:rPr>
              <w:t>Accessible et réalisable</w:t>
            </w:r>
          </w:p>
          <w:p w:rsidR="00C04CDC" w:rsidRPr="007F25CD" w:rsidRDefault="00C04CDC" w:rsidP="00C60238">
            <w:pPr>
              <w:pStyle w:val="Paragraphedeliste"/>
              <w:numPr>
                <w:ilvl w:val="0"/>
                <w:numId w:val="6"/>
              </w:numPr>
              <w:autoSpaceDE w:val="0"/>
              <w:autoSpaceDN w:val="0"/>
              <w:adjustRightInd w:val="0"/>
              <w:rPr>
                <w:rFonts w:cs="MyriadPro-Bold"/>
                <w:bCs/>
              </w:rPr>
            </w:pPr>
            <w:r w:rsidRPr="007F25CD">
              <w:rPr>
                <w:rFonts w:cs="MyriadPro-Bold"/>
                <w:bCs/>
              </w:rPr>
              <w:t>Pertinent car rattaché directement à l’activité</w:t>
            </w:r>
          </w:p>
          <w:p w:rsidR="00C04CDC" w:rsidRPr="007F25CD" w:rsidRDefault="00C04CDC" w:rsidP="00C60238">
            <w:pPr>
              <w:pStyle w:val="Paragraphedeliste"/>
              <w:numPr>
                <w:ilvl w:val="0"/>
                <w:numId w:val="6"/>
              </w:numPr>
              <w:autoSpaceDE w:val="0"/>
              <w:autoSpaceDN w:val="0"/>
              <w:adjustRightInd w:val="0"/>
              <w:rPr>
                <w:rFonts w:cs="MyriadPro-Bold"/>
                <w:bCs/>
              </w:rPr>
            </w:pPr>
            <w:r w:rsidRPr="007F25CD">
              <w:rPr>
                <w:rFonts w:cs="MyriadPro-Bold"/>
                <w:bCs/>
              </w:rPr>
              <w:t xml:space="preserve">Non limité dans le temps </w:t>
            </w:r>
          </w:p>
        </w:tc>
      </w:tr>
      <w:tr w:rsidR="00854799" w:rsidTr="00452958">
        <w:tc>
          <w:tcPr>
            <w:tcW w:w="3510" w:type="dxa"/>
          </w:tcPr>
          <w:p w:rsidR="00854799" w:rsidRDefault="00854799" w:rsidP="00CD6C71">
            <w:pPr>
              <w:autoSpaceDE w:val="0"/>
              <w:autoSpaceDN w:val="0"/>
              <w:adjustRightInd w:val="0"/>
              <w:rPr>
                <w:rFonts w:cs="MyriadPro-Bold"/>
                <w:bCs/>
              </w:rPr>
            </w:pPr>
            <w:r w:rsidRPr="00C04CDC">
              <w:rPr>
                <w:rFonts w:cs="MyriadPro-Bold"/>
                <w:bCs/>
              </w:rPr>
              <w:t>Taux d’augmentation du budget affecté aux actions environnementales dans le cadre de l’INDH et des PCDs.</w:t>
            </w:r>
          </w:p>
        </w:tc>
        <w:tc>
          <w:tcPr>
            <w:tcW w:w="1560" w:type="dxa"/>
          </w:tcPr>
          <w:p w:rsidR="00854799" w:rsidRDefault="00854799" w:rsidP="00C60238">
            <w:pPr>
              <w:autoSpaceDE w:val="0"/>
              <w:autoSpaceDN w:val="0"/>
              <w:adjustRightInd w:val="0"/>
              <w:rPr>
                <w:rFonts w:cs="MyriadPro-Bold"/>
                <w:bCs/>
              </w:rPr>
            </w:pPr>
            <w:r w:rsidRPr="0053766D">
              <w:rPr>
                <w:rFonts w:ascii="Times New Roman" w:eastAsia="Times New Roman" w:hAnsi="Times New Roman" w:cs="Times New Roman"/>
                <w:color w:val="FFFF00"/>
                <w:sz w:val="32"/>
                <w:szCs w:val="32"/>
              </w:rPr>
              <w:sym w:font="Wingdings" w:char="F0C2"/>
            </w:r>
            <w:r w:rsidRPr="00F944BC">
              <w:rPr>
                <w:rFonts w:eastAsia="Times New Roman" w:cs="Times New Roman"/>
                <w:sz w:val="20"/>
                <w:szCs w:val="20"/>
              </w:rPr>
              <w:t xml:space="preserve"> partiellement SMART (3 à 4 critères couverts)</w:t>
            </w:r>
          </w:p>
        </w:tc>
        <w:tc>
          <w:tcPr>
            <w:tcW w:w="4142" w:type="dxa"/>
          </w:tcPr>
          <w:p w:rsidR="00854799" w:rsidRPr="007F25CD" w:rsidRDefault="00854799" w:rsidP="00C60238">
            <w:pPr>
              <w:pStyle w:val="Paragraphedeliste"/>
              <w:numPr>
                <w:ilvl w:val="0"/>
                <w:numId w:val="6"/>
              </w:numPr>
              <w:autoSpaceDE w:val="0"/>
              <w:autoSpaceDN w:val="0"/>
              <w:adjustRightInd w:val="0"/>
              <w:rPr>
                <w:rFonts w:cs="MyriadPro-Bold"/>
                <w:bCs/>
              </w:rPr>
            </w:pPr>
            <w:r w:rsidRPr="00452958">
              <w:rPr>
                <w:rFonts w:cs="MyriadPro-Bold"/>
                <w:bCs/>
              </w:rPr>
              <w:t>Spécifique car l’action est clairement établie</w:t>
            </w:r>
            <w:r w:rsidRPr="007F25CD">
              <w:rPr>
                <w:rFonts w:cs="MyriadPro-Bold"/>
                <w:bCs/>
              </w:rPr>
              <w:t xml:space="preserve">. </w:t>
            </w:r>
          </w:p>
          <w:p w:rsidR="00854799" w:rsidRPr="007F25CD" w:rsidRDefault="00854799" w:rsidP="00C60238">
            <w:pPr>
              <w:pStyle w:val="Paragraphedeliste"/>
              <w:numPr>
                <w:ilvl w:val="0"/>
                <w:numId w:val="6"/>
              </w:numPr>
              <w:autoSpaceDE w:val="0"/>
              <w:autoSpaceDN w:val="0"/>
              <w:adjustRightInd w:val="0"/>
              <w:rPr>
                <w:rFonts w:cs="MyriadPro-Bold"/>
                <w:bCs/>
              </w:rPr>
            </w:pPr>
            <w:r>
              <w:rPr>
                <w:rFonts w:cs="MyriadPro-Bold"/>
                <w:bCs/>
              </w:rPr>
              <w:t>Mesurable car sa cible fixe à au moins 10% le taux d’augmentation du budget</w:t>
            </w:r>
          </w:p>
          <w:p w:rsidR="00854799" w:rsidRPr="007F25CD" w:rsidRDefault="00854799" w:rsidP="00C60238">
            <w:pPr>
              <w:pStyle w:val="Paragraphedeliste"/>
              <w:numPr>
                <w:ilvl w:val="0"/>
                <w:numId w:val="6"/>
              </w:numPr>
              <w:autoSpaceDE w:val="0"/>
              <w:autoSpaceDN w:val="0"/>
              <w:adjustRightInd w:val="0"/>
              <w:rPr>
                <w:rFonts w:cs="MyriadPro-Bold"/>
                <w:bCs/>
              </w:rPr>
            </w:pPr>
            <w:r>
              <w:rPr>
                <w:rFonts w:cs="MyriadPro-Bold"/>
                <w:bCs/>
              </w:rPr>
              <w:t>Accessible et réalisable</w:t>
            </w:r>
          </w:p>
          <w:p w:rsidR="00854799" w:rsidRPr="007F25CD" w:rsidRDefault="00854799" w:rsidP="00C60238">
            <w:pPr>
              <w:pStyle w:val="Paragraphedeliste"/>
              <w:numPr>
                <w:ilvl w:val="0"/>
                <w:numId w:val="6"/>
              </w:numPr>
              <w:autoSpaceDE w:val="0"/>
              <w:autoSpaceDN w:val="0"/>
              <w:adjustRightInd w:val="0"/>
              <w:rPr>
                <w:rFonts w:cs="MyriadPro-Bold"/>
                <w:bCs/>
              </w:rPr>
            </w:pPr>
            <w:r w:rsidRPr="007F25CD">
              <w:rPr>
                <w:rFonts w:cs="MyriadPro-Bold"/>
                <w:bCs/>
              </w:rPr>
              <w:t>Pertinent car rattaché directement à l’activité</w:t>
            </w:r>
          </w:p>
          <w:p w:rsidR="00854799" w:rsidRPr="007F25CD" w:rsidRDefault="00854799" w:rsidP="00C60238">
            <w:pPr>
              <w:pStyle w:val="Paragraphedeliste"/>
              <w:numPr>
                <w:ilvl w:val="0"/>
                <w:numId w:val="6"/>
              </w:numPr>
              <w:autoSpaceDE w:val="0"/>
              <w:autoSpaceDN w:val="0"/>
              <w:adjustRightInd w:val="0"/>
              <w:rPr>
                <w:rFonts w:cs="MyriadPro-Bold"/>
                <w:bCs/>
              </w:rPr>
            </w:pPr>
            <w:r w:rsidRPr="007F25CD">
              <w:rPr>
                <w:rFonts w:cs="MyriadPro-Bold"/>
                <w:bCs/>
              </w:rPr>
              <w:t xml:space="preserve">Non limité dans le temps </w:t>
            </w:r>
          </w:p>
        </w:tc>
      </w:tr>
      <w:tr w:rsidR="00854799" w:rsidTr="00452958">
        <w:tc>
          <w:tcPr>
            <w:tcW w:w="3510" w:type="dxa"/>
          </w:tcPr>
          <w:p w:rsidR="00854799" w:rsidRDefault="00854799" w:rsidP="00CD6C71">
            <w:pPr>
              <w:autoSpaceDE w:val="0"/>
              <w:autoSpaceDN w:val="0"/>
              <w:adjustRightInd w:val="0"/>
              <w:rPr>
                <w:rFonts w:cs="MyriadPro-Bold"/>
                <w:bCs/>
              </w:rPr>
            </w:pPr>
            <w:r w:rsidRPr="00854799">
              <w:rPr>
                <w:rFonts w:cs="MyriadPro-Bold"/>
                <w:bCs/>
              </w:rPr>
              <w:t>Une stratégie de généralisation des mécanismes de coordination, des outils et du développement des capacités est validée.</w:t>
            </w:r>
          </w:p>
        </w:tc>
        <w:tc>
          <w:tcPr>
            <w:tcW w:w="1560" w:type="dxa"/>
          </w:tcPr>
          <w:p w:rsidR="00854799" w:rsidRDefault="00854799" w:rsidP="00C60238">
            <w:pPr>
              <w:autoSpaceDE w:val="0"/>
              <w:autoSpaceDN w:val="0"/>
              <w:adjustRightInd w:val="0"/>
              <w:rPr>
                <w:rFonts w:cs="MyriadPro-Bold"/>
                <w:bCs/>
              </w:rPr>
            </w:pPr>
            <w:r w:rsidRPr="0053766D">
              <w:rPr>
                <w:rFonts w:ascii="Times New Roman" w:eastAsia="Times New Roman" w:hAnsi="Times New Roman" w:cs="Times New Roman"/>
                <w:color w:val="FFFF00"/>
                <w:sz w:val="32"/>
                <w:szCs w:val="32"/>
              </w:rPr>
              <w:sym w:font="Wingdings" w:char="F0C2"/>
            </w:r>
            <w:r w:rsidRPr="00F944BC">
              <w:rPr>
                <w:rFonts w:eastAsia="Times New Roman" w:cs="Times New Roman"/>
                <w:sz w:val="20"/>
                <w:szCs w:val="20"/>
              </w:rPr>
              <w:t xml:space="preserve"> partiellement SMART (3 à 4 critères couverts)</w:t>
            </w:r>
          </w:p>
        </w:tc>
        <w:tc>
          <w:tcPr>
            <w:tcW w:w="4142" w:type="dxa"/>
          </w:tcPr>
          <w:p w:rsidR="00854799" w:rsidRPr="007F25CD" w:rsidRDefault="00854799" w:rsidP="00C60238">
            <w:pPr>
              <w:pStyle w:val="Paragraphedeliste"/>
              <w:numPr>
                <w:ilvl w:val="0"/>
                <w:numId w:val="6"/>
              </w:numPr>
              <w:autoSpaceDE w:val="0"/>
              <w:autoSpaceDN w:val="0"/>
              <w:adjustRightInd w:val="0"/>
              <w:rPr>
                <w:rFonts w:cs="MyriadPro-Bold"/>
                <w:bCs/>
              </w:rPr>
            </w:pPr>
            <w:r w:rsidRPr="00452958">
              <w:rPr>
                <w:rFonts w:cs="MyriadPro-Bold"/>
                <w:bCs/>
              </w:rPr>
              <w:t>Spécifique car l’action est clairement établie</w:t>
            </w:r>
            <w:r w:rsidRPr="007F25CD">
              <w:rPr>
                <w:rFonts w:cs="MyriadPro-Bold"/>
                <w:bCs/>
              </w:rPr>
              <w:t xml:space="preserve">. </w:t>
            </w:r>
          </w:p>
          <w:p w:rsidR="00854799" w:rsidRPr="007F25CD" w:rsidRDefault="00854799" w:rsidP="00C60238">
            <w:pPr>
              <w:pStyle w:val="Paragraphedeliste"/>
              <w:numPr>
                <w:ilvl w:val="0"/>
                <w:numId w:val="6"/>
              </w:numPr>
              <w:autoSpaceDE w:val="0"/>
              <w:autoSpaceDN w:val="0"/>
              <w:adjustRightInd w:val="0"/>
              <w:rPr>
                <w:rFonts w:cs="MyriadPro-Bold"/>
                <w:bCs/>
              </w:rPr>
            </w:pPr>
            <w:r>
              <w:rPr>
                <w:rFonts w:cs="MyriadPro-Bold"/>
                <w:bCs/>
              </w:rPr>
              <w:t>Mesurable car sa cible fixe à 1 stratégie</w:t>
            </w:r>
          </w:p>
          <w:p w:rsidR="00854799" w:rsidRPr="007F25CD" w:rsidRDefault="00854799" w:rsidP="00C60238">
            <w:pPr>
              <w:pStyle w:val="Paragraphedeliste"/>
              <w:numPr>
                <w:ilvl w:val="0"/>
                <w:numId w:val="6"/>
              </w:numPr>
              <w:autoSpaceDE w:val="0"/>
              <w:autoSpaceDN w:val="0"/>
              <w:adjustRightInd w:val="0"/>
              <w:rPr>
                <w:rFonts w:cs="MyriadPro-Bold"/>
                <w:bCs/>
              </w:rPr>
            </w:pPr>
            <w:r>
              <w:rPr>
                <w:rFonts w:cs="MyriadPro-Bold"/>
                <w:bCs/>
              </w:rPr>
              <w:t>Accessible et réalisable</w:t>
            </w:r>
          </w:p>
          <w:p w:rsidR="00854799" w:rsidRPr="007F25CD" w:rsidRDefault="00854799" w:rsidP="00C60238">
            <w:pPr>
              <w:pStyle w:val="Paragraphedeliste"/>
              <w:numPr>
                <w:ilvl w:val="0"/>
                <w:numId w:val="6"/>
              </w:numPr>
              <w:autoSpaceDE w:val="0"/>
              <w:autoSpaceDN w:val="0"/>
              <w:adjustRightInd w:val="0"/>
              <w:rPr>
                <w:rFonts w:cs="MyriadPro-Bold"/>
                <w:bCs/>
              </w:rPr>
            </w:pPr>
            <w:r w:rsidRPr="007F25CD">
              <w:rPr>
                <w:rFonts w:cs="MyriadPro-Bold"/>
                <w:bCs/>
              </w:rPr>
              <w:t>Pertinent car rattaché à l’activité</w:t>
            </w:r>
          </w:p>
          <w:p w:rsidR="00854799" w:rsidRPr="007F25CD" w:rsidRDefault="00854799" w:rsidP="00C60238">
            <w:pPr>
              <w:pStyle w:val="Paragraphedeliste"/>
              <w:numPr>
                <w:ilvl w:val="0"/>
                <w:numId w:val="6"/>
              </w:numPr>
              <w:autoSpaceDE w:val="0"/>
              <w:autoSpaceDN w:val="0"/>
              <w:adjustRightInd w:val="0"/>
              <w:rPr>
                <w:rFonts w:cs="MyriadPro-Bold"/>
                <w:bCs/>
              </w:rPr>
            </w:pPr>
            <w:r w:rsidRPr="007F25CD">
              <w:rPr>
                <w:rFonts w:cs="MyriadPro-Bold"/>
                <w:bCs/>
              </w:rPr>
              <w:t xml:space="preserve">Non limité dans le temps </w:t>
            </w:r>
          </w:p>
        </w:tc>
      </w:tr>
    </w:tbl>
    <w:p w:rsidR="00854799" w:rsidRPr="00604D3A" w:rsidRDefault="00854799" w:rsidP="00854799">
      <w:pPr>
        <w:autoSpaceDE w:val="0"/>
        <w:autoSpaceDN w:val="0"/>
        <w:adjustRightInd w:val="0"/>
        <w:spacing w:after="0" w:line="240" w:lineRule="auto"/>
        <w:rPr>
          <w:rFonts w:cs="MyriadPro-Bold"/>
          <w:b/>
          <w:bCs/>
          <w:i/>
        </w:rPr>
      </w:pPr>
      <w:r w:rsidRPr="00604D3A">
        <w:rPr>
          <w:rFonts w:cs="MyriadPro-Bold"/>
          <w:b/>
          <w:bCs/>
          <w:i/>
        </w:rPr>
        <w:t>Résultat 3 : Un système de gestion adaptive du projet des leçons tirées est établi</w:t>
      </w:r>
    </w:p>
    <w:p w:rsidR="00452958" w:rsidRDefault="00452958" w:rsidP="00CD6C71">
      <w:pPr>
        <w:autoSpaceDE w:val="0"/>
        <w:autoSpaceDN w:val="0"/>
        <w:adjustRightInd w:val="0"/>
        <w:spacing w:after="0" w:line="240" w:lineRule="auto"/>
        <w:rPr>
          <w:rFonts w:cs="MyriadPro-Bold"/>
          <w:bCs/>
        </w:rPr>
      </w:pPr>
    </w:p>
    <w:tbl>
      <w:tblPr>
        <w:tblStyle w:val="Grilledutableau"/>
        <w:tblW w:w="0" w:type="auto"/>
        <w:tblLook w:val="04A0"/>
      </w:tblPr>
      <w:tblGrid>
        <w:gridCol w:w="3510"/>
        <w:gridCol w:w="1560"/>
        <w:gridCol w:w="4142"/>
      </w:tblGrid>
      <w:tr w:rsidR="00854799" w:rsidRPr="00854799" w:rsidTr="001F3919">
        <w:tc>
          <w:tcPr>
            <w:tcW w:w="3510" w:type="dxa"/>
            <w:shd w:val="clear" w:color="auto" w:fill="BFBFBF" w:themeFill="background1" w:themeFillShade="BF"/>
          </w:tcPr>
          <w:p w:rsidR="00854799" w:rsidRPr="00854799" w:rsidRDefault="00854799" w:rsidP="00854799">
            <w:pPr>
              <w:autoSpaceDE w:val="0"/>
              <w:autoSpaceDN w:val="0"/>
              <w:adjustRightInd w:val="0"/>
              <w:jc w:val="center"/>
              <w:rPr>
                <w:rFonts w:cs="MyriadPro-Bold"/>
                <w:b/>
                <w:bCs/>
              </w:rPr>
            </w:pPr>
            <w:r>
              <w:rPr>
                <w:rFonts w:cs="MyriadPro-Bold"/>
                <w:b/>
                <w:bCs/>
              </w:rPr>
              <w:t>Indicateur</w:t>
            </w:r>
          </w:p>
        </w:tc>
        <w:tc>
          <w:tcPr>
            <w:tcW w:w="1560" w:type="dxa"/>
            <w:shd w:val="clear" w:color="auto" w:fill="D9D9D9" w:themeFill="background1" w:themeFillShade="D9"/>
          </w:tcPr>
          <w:p w:rsidR="00854799" w:rsidRPr="00854799" w:rsidRDefault="00854799" w:rsidP="00854799">
            <w:pPr>
              <w:autoSpaceDE w:val="0"/>
              <w:autoSpaceDN w:val="0"/>
              <w:adjustRightInd w:val="0"/>
              <w:jc w:val="center"/>
              <w:rPr>
                <w:rFonts w:cs="MyriadPro-Bold"/>
                <w:b/>
                <w:bCs/>
              </w:rPr>
            </w:pPr>
            <w:r>
              <w:rPr>
                <w:rFonts w:cs="MyriadPro-Bold"/>
                <w:b/>
                <w:bCs/>
              </w:rPr>
              <w:t>Évaluation</w:t>
            </w:r>
          </w:p>
        </w:tc>
        <w:tc>
          <w:tcPr>
            <w:tcW w:w="4142" w:type="dxa"/>
            <w:shd w:val="clear" w:color="auto" w:fill="D9D9D9" w:themeFill="background1" w:themeFillShade="D9"/>
          </w:tcPr>
          <w:p w:rsidR="00854799" w:rsidRPr="00854799" w:rsidRDefault="00854799" w:rsidP="00854799">
            <w:pPr>
              <w:autoSpaceDE w:val="0"/>
              <w:autoSpaceDN w:val="0"/>
              <w:adjustRightInd w:val="0"/>
              <w:jc w:val="center"/>
              <w:rPr>
                <w:rFonts w:cs="MyriadPro-Bold"/>
                <w:b/>
                <w:bCs/>
              </w:rPr>
            </w:pPr>
            <w:r>
              <w:rPr>
                <w:rFonts w:cs="MyriadPro-Bold"/>
                <w:b/>
                <w:bCs/>
              </w:rPr>
              <w:t>Commentaire</w:t>
            </w:r>
          </w:p>
        </w:tc>
      </w:tr>
      <w:tr w:rsidR="00637D5E" w:rsidRPr="006B3FD0" w:rsidTr="006B3FD0">
        <w:tc>
          <w:tcPr>
            <w:tcW w:w="3510" w:type="dxa"/>
          </w:tcPr>
          <w:p w:rsidR="00637D5E" w:rsidRPr="006B3FD0" w:rsidRDefault="00637D5E" w:rsidP="00C60238">
            <w:r w:rsidRPr="006B3FD0">
              <w:t>Equipe du projet mise en place</w:t>
            </w:r>
          </w:p>
        </w:tc>
        <w:tc>
          <w:tcPr>
            <w:tcW w:w="1560" w:type="dxa"/>
          </w:tcPr>
          <w:p w:rsidR="00637D5E" w:rsidRDefault="00637D5E" w:rsidP="00C60238">
            <w:pPr>
              <w:autoSpaceDE w:val="0"/>
              <w:autoSpaceDN w:val="0"/>
              <w:adjustRightInd w:val="0"/>
              <w:rPr>
                <w:rFonts w:cs="MyriadPro-Bold"/>
                <w:bCs/>
              </w:rPr>
            </w:pPr>
            <w:r w:rsidRPr="0053766D">
              <w:rPr>
                <w:rFonts w:ascii="Times New Roman" w:eastAsia="Times New Roman" w:hAnsi="Times New Roman" w:cs="Times New Roman"/>
                <w:color w:val="FFFF00"/>
                <w:sz w:val="32"/>
                <w:szCs w:val="32"/>
              </w:rPr>
              <w:sym w:font="Wingdings" w:char="F0C2"/>
            </w:r>
            <w:r w:rsidRPr="00F944BC">
              <w:rPr>
                <w:rFonts w:eastAsia="Times New Roman" w:cs="Times New Roman"/>
                <w:sz w:val="20"/>
                <w:szCs w:val="20"/>
              </w:rPr>
              <w:t xml:space="preserve"> </w:t>
            </w:r>
            <w:r w:rsidRPr="00F944BC">
              <w:rPr>
                <w:rFonts w:eastAsia="Times New Roman" w:cs="Times New Roman"/>
                <w:sz w:val="20"/>
                <w:szCs w:val="20"/>
              </w:rPr>
              <w:lastRenderedPageBreak/>
              <w:t>partiellement SMART (3 à 4 critères couverts)</w:t>
            </w:r>
          </w:p>
        </w:tc>
        <w:tc>
          <w:tcPr>
            <w:tcW w:w="4142" w:type="dxa"/>
          </w:tcPr>
          <w:p w:rsidR="00637D5E" w:rsidRPr="007F25CD" w:rsidRDefault="00637D5E" w:rsidP="00C60238">
            <w:pPr>
              <w:pStyle w:val="Paragraphedeliste"/>
              <w:numPr>
                <w:ilvl w:val="0"/>
                <w:numId w:val="6"/>
              </w:numPr>
              <w:autoSpaceDE w:val="0"/>
              <w:autoSpaceDN w:val="0"/>
              <w:adjustRightInd w:val="0"/>
              <w:rPr>
                <w:rFonts w:cs="MyriadPro-Bold"/>
                <w:bCs/>
              </w:rPr>
            </w:pPr>
            <w:r w:rsidRPr="00452958">
              <w:rPr>
                <w:rFonts w:cs="MyriadPro-Bold"/>
                <w:bCs/>
              </w:rPr>
              <w:lastRenderedPageBreak/>
              <w:t xml:space="preserve">Spécifique car l’action est clairement </w:t>
            </w:r>
            <w:r w:rsidRPr="00452958">
              <w:rPr>
                <w:rFonts w:cs="MyriadPro-Bold"/>
                <w:bCs/>
              </w:rPr>
              <w:lastRenderedPageBreak/>
              <w:t>établie</w:t>
            </w:r>
            <w:r w:rsidRPr="007F25CD">
              <w:rPr>
                <w:rFonts w:cs="MyriadPro-Bold"/>
                <w:bCs/>
              </w:rPr>
              <w:t xml:space="preserve">. </w:t>
            </w:r>
          </w:p>
          <w:p w:rsidR="00637D5E" w:rsidRPr="007F25CD" w:rsidRDefault="00637D5E" w:rsidP="00C60238">
            <w:pPr>
              <w:pStyle w:val="Paragraphedeliste"/>
              <w:numPr>
                <w:ilvl w:val="0"/>
                <w:numId w:val="6"/>
              </w:numPr>
              <w:autoSpaceDE w:val="0"/>
              <w:autoSpaceDN w:val="0"/>
              <w:adjustRightInd w:val="0"/>
              <w:rPr>
                <w:rFonts w:cs="MyriadPro-Bold"/>
                <w:bCs/>
              </w:rPr>
            </w:pPr>
            <w:r>
              <w:rPr>
                <w:rFonts w:cs="MyriadPro-Bold"/>
                <w:bCs/>
              </w:rPr>
              <w:t xml:space="preserve">Mesurable </w:t>
            </w:r>
          </w:p>
          <w:p w:rsidR="00637D5E" w:rsidRPr="007F25CD" w:rsidRDefault="00637D5E" w:rsidP="00C60238">
            <w:pPr>
              <w:pStyle w:val="Paragraphedeliste"/>
              <w:numPr>
                <w:ilvl w:val="0"/>
                <w:numId w:val="6"/>
              </w:numPr>
              <w:autoSpaceDE w:val="0"/>
              <w:autoSpaceDN w:val="0"/>
              <w:adjustRightInd w:val="0"/>
              <w:rPr>
                <w:rFonts w:cs="MyriadPro-Bold"/>
                <w:bCs/>
              </w:rPr>
            </w:pPr>
            <w:r>
              <w:rPr>
                <w:rFonts w:cs="MyriadPro-Bold"/>
                <w:bCs/>
              </w:rPr>
              <w:t>Accessible et réalisable</w:t>
            </w:r>
          </w:p>
          <w:p w:rsidR="00637D5E" w:rsidRPr="007F25CD" w:rsidRDefault="00637D5E" w:rsidP="00C60238">
            <w:pPr>
              <w:pStyle w:val="Paragraphedeliste"/>
              <w:numPr>
                <w:ilvl w:val="0"/>
                <w:numId w:val="6"/>
              </w:numPr>
              <w:autoSpaceDE w:val="0"/>
              <w:autoSpaceDN w:val="0"/>
              <w:adjustRightInd w:val="0"/>
              <w:rPr>
                <w:rFonts w:cs="MyriadPro-Bold"/>
                <w:bCs/>
              </w:rPr>
            </w:pPr>
            <w:r w:rsidRPr="007F25CD">
              <w:rPr>
                <w:rFonts w:cs="MyriadPro-Bold"/>
                <w:bCs/>
              </w:rPr>
              <w:t>Pertinent car rattaché directement à l’activité</w:t>
            </w:r>
          </w:p>
          <w:p w:rsidR="00637D5E" w:rsidRPr="007F25CD" w:rsidRDefault="00637D5E" w:rsidP="00C60238">
            <w:pPr>
              <w:pStyle w:val="Paragraphedeliste"/>
              <w:numPr>
                <w:ilvl w:val="0"/>
                <w:numId w:val="6"/>
              </w:numPr>
              <w:autoSpaceDE w:val="0"/>
              <w:autoSpaceDN w:val="0"/>
              <w:adjustRightInd w:val="0"/>
              <w:rPr>
                <w:rFonts w:cs="MyriadPro-Bold"/>
                <w:bCs/>
              </w:rPr>
            </w:pPr>
            <w:r w:rsidRPr="007F25CD">
              <w:rPr>
                <w:rFonts w:cs="MyriadPro-Bold"/>
                <w:bCs/>
              </w:rPr>
              <w:t xml:space="preserve">Non limité dans le temps </w:t>
            </w:r>
          </w:p>
        </w:tc>
      </w:tr>
      <w:tr w:rsidR="00637D5E" w:rsidTr="006B3FD0">
        <w:tc>
          <w:tcPr>
            <w:tcW w:w="3510" w:type="dxa"/>
          </w:tcPr>
          <w:p w:rsidR="00637D5E" w:rsidRDefault="00637D5E" w:rsidP="00CD6C71">
            <w:pPr>
              <w:autoSpaceDE w:val="0"/>
              <w:autoSpaceDN w:val="0"/>
              <w:adjustRightInd w:val="0"/>
              <w:rPr>
                <w:rFonts w:cs="MyriadPro-Bold"/>
                <w:bCs/>
              </w:rPr>
            </w:pPr>
            <w:r w:rsidRPr="006B3FD0">
              <w:rPr>
                <w:rFonts w:cs="MyriadPro-Bold"/>
                <w:bCs/>
              </w:rPr>
              <w:lastRenderedPageBreak/>
              <w:t>Système d’assurance qualité opérationnel</w:t>
            </w:r>
          </w:p>
        </w:tc>
        <w:tc>
          <w:tcPr>
            <w:tcW w:w="1560" w:type="dxa"/>
          </w:tcPr>
          <w:p w:rsidR="00637D5E" w:rsidRDefault="00637D5E" w:rsidP="00C60238">
            <w:pPr>
              <w:autoSpaceDE w:val="0"/>
              <w:autoSpaceDN w:val="0"/>
              <w:adjustRightInd w:val="0"/>
              <w:rPr>
                <w:rFonts w:cs="MyriadPro-Bold"/>
                <w:bCs/>
              </w:rPr>
            </w:pPr>
            <w:r w:rsidRPr="0053766D">
              <w:rPr>
                <w:rFonts w:ascii="Times New Roman" w:eastAsia="Times New Roman" w:hAnsi="Times New Roman" w:cs="Times New Roman"/>
                <w:color w:val="FFFF00"/>
                <w:sz w:val="32"/>
                <w:szCs w:val="32"/>
              </w:rPr>
              <w:sym w:font="Wingdings" w:char="F0C2"/>
            </w:r>
            <w:r w:rsidRPr="00F944BC">
              <w:rPr>
                <w:rFonts w:eastAsia="Times New Roman" w:cs="Times New Roman"/>
                <w:sz w:val="20"/>
                <w:szCs w:val="20"/>
              </w:rPr>
              <w:t xml:space="preserve"> partiellement SMART (3 à 4 critères couverts)</w:t>
            </w:r>
          </w:p>
        </w:tc>
        <w:tc>
          <w:tcPr>
            <w:tcW w:w="4142" w:type="dxa"/>
          </w:tcPr>
          <w:p w:rsidR="00637D5E" w:rsidRPr="007F25CD" w:rsidRDefault="00637D5E" w:rsidP="00C60238">
            <w:pPr>
              <w:pStyle w:val="Paragraphedeliste"/>
              <w:numPr>
                <w:ilvl w:val="0"/>
                <w:numId w:val="6"/>
              </w:numPr>
              <w:autoSpaceDE w:val="0"/>
              <w:autoSpaceDN w:val="0"/>
              <w:adjustRightInd w:val="0"/>
              <w:rPr>
                <w:rFonts w:cs="MyriadPro-Bold"/>
                <w:bCs/>
              </w:rPr>
            </w:pPr>
            <w:r w:rsidRPr="00452958">
              <w:rPr>
                <w:rFonts w:cs="MyriadPro-Bold"/>
                <w:bCs/>
              </w:rPr>
              <w:t>Spécifique car l’action est clairement établie</w:t>
            </w:r>
            <w:r w:rsidRPr="007F25CD">
              <w:rPr>
                <w:rFonts w:cs="MyriadPro-Bold"/>
                <w:bCs/>
              </w:rPr>
              <w:t xml:space="preserve">. </w:t>
            </w:r>
          </w:p>
          <w:p w:rsidR="00637D5E" w:rsidRPr="007F25CD" w:rsidRDefault="00637D5E" w:rsidP="00C60238">
            <w:pPr>
              <w:pStyle w:val="Paragraphedeliste"/>
              <w:numPr>
                <w:ilvl w:val="0"/>
                <w:numId w:val="6"/>
              </w:numPr>
              <w:autoSpaceDE w:val="0"/>
              <w:autoSpaceDN w:val="0"/>
              <w:adjustRightInd w:val="0"/>
              <w:rPr>
                <w:rFonts w:cs="MyriadPro-Bold"/>
                <w:bCs/>
              </w:rPr>
            </w:pPr>
            <w:r>
              <w:rPr>
                <w:rFonts w:cs="MyriadPro-Bold"/>
                <w:bCs/>
              </w:rPr>
              <w:t xml:space="preserve">Mesurable </w:t>
            </w:r>
          </w:p>
          <w:p w:rsidR="00637D5E" w:rsidRPr="007F25CD" w:rsidRDefault="00637D5E" w:rsidP="00C60238">
            <w:pPr>
              <w:pStyle w:val="Paragraphedeliste"/>
              <w:numPr>
                <w:ilvl w:val="0"/>
                <w:numId w:val="6"/>
              </w:numPr>
              <w:autoSpaceDE w:val="0"/>
              <w:autoSpaceDN w:val="0"/>
              <w:adjustRightInd w:val="0"/>
              <w:rPr>
                <w:rFonts w:cs="MyriadPro-Bold"/>
                <w:bCs/>
              </w:rPr>
            </w:pPr>
            <w:r>
              <w:rPr>
                <w:rFonts w:cs="MyriadPro-Bold"/>
                <w:bCs/>
              </w:rPr>
              <w:t>Accessible et réalisable</w:t>
            </w:r>
          </w:p>
          <w:p w:rsidR="00637D5E" w:rsidRPr="007F25CD" w:rsidRDefault="00637D5E" w:rsidP="00C60238">
            <w:pPr>
              <w:pStyle w:val="Paragraphedeliste"/>
              <w:numPr>
                <w:ilvl w:val="0"/>
                <w:numId w:val="6"/>
              </w:numPr>
              <w:autoSpaceDE w:val="0"/>
              <w:autoSpaceDN w:val="0"/>
              <w:adjustRightInd w:val="0"/>
              <w:rPr>
                <w:rFonts w:cs="MyriadPro-Bold"/>
                <w:bCs/>
              </w:rPr>
            </w:pPr>
            <w:r w:rsidRPr="007F25CD">
              <w:rPr>
                <w:rFonts w:cs="MyriadPro-Bold"/>
                <w:bCs/>
              </w:rPr>
              <w:t>Pertinent car rattaché directement à l’activité</w:t>
            </w:r>
          </w:p>
          <w:p w:rsidR="00637D5E" w:rsidRPr="007F25CD" w:rsidRDefault="00637D5E" w:rsidP="00C60238">
            <w:pPr>
              <w:pStyle w:val="Paragraphedeliste"/>
              <w:numPr>
                <w:ilvl w:val="0"/>
                <w:numId w:val="6"/>
              </w:numPr>
              <w:autoSpaceDE w:val="0"/>
              <w:autoSpaceDN w:val="0"/>
              <w:adjustRightInd w:val="0"/>
              <w:rPr>
                <w:rFonts w:cs="MyriadPro-Bold"/>
                <w:bCs/>
              </w:rPr>
            </w:pPr>
            <w:r w:rsidRPr="007F25CD">
              <w:rPr>
                <w:rFonts w:cs="MyriadPro-Bold"/>
                <w:bCs/>
              </w:rPr>
              <w:t xml:space="preserve">Non limité dans le temps </w:t>
            </w:r>
          </w:p>
        </w:tc>
      </w:tr>
      <w:tr w:rsidR="00637D5E" w:rsidTr="006B3FD0">
        <w:tc>
          <w:tcPr>
            <w:tcW w:w="3510" w:type="dxa"/>
          </w:tcPr>
          <w:p w:rsidR="00637D5E" w:rsidRDefault="00637D5E" w:rsidP="00CD6C71">
            <w:pPr>
              <w:autoSpaceDE w:val="0"/>
              <w:autoSpaceDN w:val="0"/>
              <w:adjustRightInd w:val="0"/>
              <w:rPr>
                <w:rFonts w:cs="MyriadPro-Bold"/>
                <w:bCs/>
              </w:rPr>
            </w:pPr>
            <w:r w:rsidRPr="006B3FD0">
              <w:rPr>
                <w:rFonts w:cs="MyriadPro-Bold"/>
                <w:bCs/>
              </w:rPr>
              <w:t>Des mécanismes de gestion des connaissances, de partage de l’information et de dissémination des capacités requises pour la reproductibilité des résultats du projet sont mis en place.</w:t>
            </w:r>
          </w:p>
        </w:tc>
        <w:tc>
          <w:tcPr>
            <w:tcW w:w="1560" w:type="dxa"/>
          </w:tcPr>
          <w:p w:rsidR="00637D5E" w:rsidRDefault="00637D5E" w:rsidP="00C60238">
            <w:pPr>
              <w:autoSpaceDE w:val="0"/>
              <w:autoSpaceDN w:val="0"/>
              <w:adjustRightInd w:val="0"/>
              <w:rPr>
                <w:rFonts w:cs="MyriadPro-Bold"/>
                <w:bCs/>
              </w:rPr>
            </w:pPr>
            <w:r w:rsidRPr="0053766D">
              <w:rPr>
                <w:rFonts w:ascii="Times New Roman" w:eastAsia="Times New Roman" w:hAnsi="Times New Roman" w:cs="Times New Roman"/>
                <w:color w:val="FFFF00"/>
                <w:sz w:val="32"/>
                <w:szCs w:val="32"/>
              </w:rPr>
              <w:sym w:font="Wingdings" w:char="F0C2"/>
            </w:r>
            <w:r w:rsidRPr="00F944BC">
              <w:rPr>
                <w:rFonts w:eastAsia="Times New Roman" w:cs="Times New Roman"/>
                <w:sz w:val="20"/>
                <w:szCs w:val="20"/>
              </w:rPr>
              <w:t xml:space="preserve"> partiellement SMART (3 à 4 critères couverts)</w:t>
            </w:r>
          </w:p>
        </w:tc>
        <w:tc>
          <w:tcPr>
            <w:tcW w:w="4142" w:type="dxa"/>
          </w:tcPr>
          <w:p w:rsidR="00637D5E" w:rsidRPr="007F25CD" w:rsidRDefault="00637D5E" w:rsidP="00C60238">
            <w:pPr>
              <w:pStyle w:val="Paragraphedeliste"/>
              <w:numPr>
                <w:ilvl w:val="0"/>
                <w:numId w:val="6"/>
              </w:numPr>
              <w:autoSpaceDE w:val="0"/>
              <w:autoSpaceDN w:val="0"/>
              <w:adjustRightInd w:val="0"/>
              <w:rPr>
                <w:rFonts w:cs="MyriadPro-Bold"/>
                <w:bCs/>
              </w:rPr>
            </w:pPr>
            <w:r w:rsidRPr="00452958">
              <w:rPr>
                <w:rFonts w:cs="MyriadPro-Bold"/>
                <w:bCs/>
              </w:rPr>
              <w:t>Spécifique car l’action est clairement établie</w:t>
            </w:r>
            <w:r w:rsidRPr="007F25CD">
              <w:rPr>
                <w:rFonts w:cs="MyriadPro-Bold"/>
                <w:bCs/>
              </w:rPr>
              <w:t xml:space="preserve">. </w:t>
            </w:r>
          </w:p>
          <w:p w:rsidR="00637D5E" w:rsidRPr="007F25CD" w:rsidRDefault="00637D5E" w:rsidP="00C60238">
            <w:pPr>
              <w:pStyle w:val="Paragraphedeliste"/>
              <w:numPr>
                <w:ilvl w:val="0"/>
                <w:numId w:val="6"/>
              </w:numPr>
              <w:autoSpaceDE w:val="0"/>
              <w:autoSpaceDN w:val="0"/>
              <w:adjustRightInd w:val="0"/>
              <w:rPr>
                <w:rFonts w:cs="MyriadPro-Bold"/>
                <w:bCs/>
              </w:rPr>
            </w:pPr>
            <w:r>
              <w:rPr>
                <w:rFonts w:cs="MyriadPro-Bold"/>
                <w:bCs/>
              </w:rPr>
              <w:t xml:space="preserve">Mesurable </w:t>
            </w:r>
          </w:p>
          <w:p w:rsidR="00637D5E" w:rsidRPr="007F25CD" w:rsidRDefault="00637D5E" w:rsidP="00C60238">
            <w:pPr>
              <w:pStyle w:val="Paragraphedeliste"/>
              <w:numPr>
                <w:ilvl w:val="0"/>
                <w:numId w:val="6"/>
              </w:numPr>
              <w:autoSpaceDE w:val="0"/>
              <w:autoSpaceDN w:val="0"/>
              <w:adjustRightInd w:val="0"/>
              <w:rPr>
                <w:rFonts w:cs="MyriadPro-Bold"/>
                <w:bCs/>
              </w:rPr>
            </w:pPr>
            <w:r>
              <w:rPr>
                <w:rFonts w:cs="MyriadPro-Bold"/>
                <w:bCs/>
              </w:rPr>
              <w:t>Accessible et réalisable</w:t>
            </w:r>
          </w:p>
          <w:p w:rsidR="00637D5E" w:rsidRPr="007F25CD" w:rsidRDefault="00637D5E" w:rsidP="00C60238">
            <w:pPr>
              <w:pStyle w:val="Paragraphedeliste"/>
              <w:numPr>
                <w:ilvl w:val="0"/>
                <w:numId w:val="6"/>
              </w:numPr>
              <w:autoSpaceDE w:val="0"/>
              <w:autoSpaceDN w:val="0"/>
              <w:adjustRightInd w:val="0"/>
              <w:rPr>
                <w:rFonts w:cs="MyriadPro-Bold"/>
                <w:bCs/>
              </w:rPr>
            </w:pPr>
            <w:r w:rsidRPr="007F25CD">
              <w:rPr>
                <w:rFonts w:cs="MyriadPro-Bold"/>
                <w:bCs/>
              </w:rPr>
              <w:t>Pertinent car rattaché directement à l’activité</w:t>
            </w:r>
          </w:p>
          <w:p w:rsidR="00637D5E" w:rsidRPr="007F25CD" w:rsidRDefault="00637D5E" w:rsidP="00C60238">
            <w:pPr>
              <w:pStyle w:val="Paragraphedeliste"/>
              <w:numPr>
                <w:ilvl w:val="0"/>
                <w:numId w:val="6"/>
              </w:numPr>
              <w:autoSpaceDE w:val="0"/>
              <w:autoSpaceDN w:val="0"/>
              <w:adjustRightInd w:val="0"/>
              <w:rPr>
                <w:rFonts w:cs="MyriadPro-Bold"/>
                <w:bCs/>
              </w:rPr>
            </w:pPr>
            <w:r w:rsidRPr="007F25CD">
              <w:rPr>
                <w:rFonts w:cs="MyriadPro-Bold"/>
                <w:bCs/>
              </w:rPr>
              <w:t xml:space="preserve">Non limité dans le temps </w:t>
            </w:r>
          </w:p>
        </w:tc>
      </w:tr>
    </w:tbl>
    <w:p w:rsidR="00854799" w:rsidRDefault="00854799" w:rsidP="00CD6C71">
      <w:pPr>
        <w:autoSpaceDE w:val="0"/>
        <w:autoSpaceDN w:val="0"/>
        <w:adjustRightInd w:val="0"/>
        <w:spacing w:after="0" w:line="240" w:lineRule="auto"/>
        <w:rPr>
          <w:rFonts w:cs="MyriadPro-Bold"/>
          <w:bCs/>
        </w:rPr>
      </w:pPr>
    </w:p>
    <w:p w:rsidR="0034651E" w:rsidRPr="00A35512" w:rsidRDefault="00A35512" w:rsidP="00A35512">
      <w:pPr>
        <w:pStyle w:val="Titre3"/>
        <w:spacing w:before="0"/>
        <w:rPr>
          <w:rFonts w:asciiTheme="minorHAnsi" w:hAnsiTheme="minorHAnsi" w:cs="MyriadPro-Bold"/>
          <w:bCs w:val="0"/>
          <w:color w:val="auto"/>
        </w:rPr>
      </w:pPr>
      <w:bookmarkStart w:id="39" w:name="_Toc425414574"/>
      <w:r w:rsidRPr="00A35512">
        <w:rPr>
          <w:rFonts w:asciiTheme="minorHAnsi" w:hAnsiTheme="minorHAnsi" w:cs="MyriadPro-Bold"/>
          <w:bCs w:val="0"/>
          <w:color w:val="auto"/>
        </w:rPr>
        <w:t xml:space="preserve">III.1.2 </w:t>
      </w:r>
      <w:r w:rsidRPr="00A35512">
        <w:rPr>
          <w:rFonts w:asciiTheme="minorHAnsi" w:hAnsiTheme="minorHAnsi" w:cs="MyriadPro-Bold"/>
          <w:color w:val="auto"/>
        </w:rPr>
        <w:t>Hypothèses et risques</w:t>
      </w:r>
      <w:bookmarkEnd w:id="39"/>
    </w:p>
    <w:p w:rsidR="00B70859" w:rsidRDefault="00B70859" w:rsidP="00B70859">
      <w:pPr>
        <w:autoSpaceDE w:val="0"/>
        <w:autoSpaceDN w:val="0"/>
        <w:adjustRightInd w:val="0"/>
        <w:spacing w:after="0" w:line="240" w:lineRule="auto"/>
        <w:jc w:val="both"/>
        <w:rPr>
          <w:rFonts w:cs="MyriadPro-Bold"/>
          <w:bCs/>
        </w:rPr>
      </w:pPr>
      <w:r w:rsidRPr="00B70859">
        <w:rPr>
          <w:rFonts w:cs="MyriadPro-Bold"/>
          <w:bCs/>
        </w:rPr>
        <w:t>Le cadre logique comprend également des hypothèses et des risques identifiés pour chaque résultat attendu. Les hypothèses sont, dans leur majorité, pertinentes, applicables et réalistes au regard du cadre du projet.</w:t>
      </w:r>
    </w:p>
    <w:p w:rsidR="000E3245" w:rsidRDefault="000E3245" w:rsidP="00B70859">
      <w:pPr>
        <w:autoSpaceDE w:val="0"/>
        <w:autoSpaceDN w:val="0"/>
        <w:adjustRightInd w:val="0"/>
        <w:spacing w:after="0" w:line="240" w:lineRule="auto"/>
        <w:jc w:val="both"/>
        <w:rPr>
          <w:rFonts w:cs="MyriadPro-Bold"/>
          <w:bCs/>
        </w:rPr>
      </w:pPr>
      <w:r>
        <w:rPr>
          <w:rFonts w:cs="MyriadPro-Bold"/>
          <w:bCs/>
        </w:rPr>
        <w:t>À part les risques liés au résultat 3 qui lui sont intrinsèques, l</w:t>
      </w:r>
      <w:r w:rsidR="00B70859" w:rsidRPr="00B70859">
        <w:rPr>
          <w:rFonts w:cs="MyriadPro-Bold"/>
          <w:bCs/>
        </w:rPr>
        <w:t xml:space="preserve">es risques présentés dans la matrice </w:t>
      </w:r>
      <w:r>
        <w:rPr>
          <w:rFonts w:cs="MyriadPro-Bold"/>
          <w:bCs/>
        </w:rPr>
        <w:t xml:space="preserve">du cadre logique </w:t>
      </w:r>
      <w:r w:rsidR="00B70859" w:rsidRPr="00B70859">
        <w:rPr>
          <w:rFonts w:cs="MyriadPro-Bold"/>
          <w:bCs/>
        </w:rPr>
        <w:t>sont dans l’ensemble des risques externes pouvant ent</w:t>
      </w:r>
      <w:r w:rsidR="00B70859">
        <w:rPr>
          <w:rFonts w:cs="MyriadPro-Bold"/>
          <w:bCs/>
        </w:rPr>
        <w:t>raver la réa</w:t>
      </w:r>
      <w:r>
        <w:rPr>
          <w:rFonts w:cs="MyriadPro-Bold"/>
          <w:bCs/>
        </w:rPr>
        <w:t>lisation du projet. Le ProDoc présente une description de ces risques (opérationnels, organisationnels, politiques, réglementaires et stratégiques) ainsi que</w:t>
      </w:r>
      <w:r w:rsidR="00B70859" w:rsidRPr="00B70859">
        <w:rPr>
          <w:rFonts w:cs="MyriadPro-Bold"/>
          <w:bCs/>
        </w:rPr>
        <w:t xml:space="preserve"> les mesures de leur atténuation et gestion.</w:t>
      </w:r>
    </w:p>
    <w:p w:rsidR="00A35512" w:rsidRDefault="000E3245" w:rsidP="00B70859">
      <w:pPr>
        <w:autoSpaceDE w:val="0"/>
        <w:autoSpaceDN w:val="0"/>
        <w:adjustRightInd w:val="0"/>
        <w:spacing w:after="0" w:line="240" w:lineRule="auto"/>
        <w:jc w:val="both"/>
        <w:rPr>
          <w:rFonts w:cs="MyriadPro-Bold"/>
          <w:bCs/>
        </w:rPr>
      </w:pPr>
      <w:r w:rsidRPr="00B70859">
        <w:rPr>
          <w:rFonts w:cs="MyriadPro-Bold"/>
          <w:bCs/>
        </w:rPr>
        <w:t xml:space="preserve">Le risque le plus important pour le projet est représenté par la </w:t>
      </w:r>
      <w:r>
        <w:rPr>
          <w:rFonts w:cs="MyriadPro-Bold"/>
          <w:bCs/>
        </w:rPr>
        <w:t>non-implication de la DGCL et de l’INDH dans le projet : si le ProDoc identifie les PCD comme outils de planification stratégique locale</w:t>
      </w:r>
      <w:r w:rsidR="00B0461A">
        <w:rPr>
          <w:rFonts w:cs="MyriadPro-Bold"/>
          <w:bCs/>
        </w:rPr>
        <w:t xml:space="preserve"> dont le développement par les communes est appuyé par la DGCL</w:t>
      </w:r>
      <w:r w:rsidR="00E57AA8">
        <w:rPr>
          <w:rFonts w:cs="MyriadPro-Bold"/>
          <w:bCs/>
        </w:rPr>
        <w:t xml:space="preserve"> (DFCAT, DPE)</w:t>
      </w:r>
      <w:r w:rsidR="00B0461A">
        <w:rPr>
          <w:rFonts w:cs="MyriadPro-Bold"/>
          <w:bCs/>
        </w:rPr>
        <w:t>, il ne pointe pas les Initiatives Locales de Développement Humain (ILDH) comme outils de planification locale développés par les Comités Locaux de Développement Humains (CLDH) au sein de l’INDH. Cette entité institutionnelle (CLDH) devait être désignée dans le ProDoc comme étant la garante à l’échelle locale de l’intégration de la démarche IEL au sein de l’INDH.</w:t>
      </w:r>
    </w:p>
    <w:p w:rsidR="00A35512" w:rsidRPr="00AE54CD" w:rsidRDefault="00A35512" w:rsidP="00AD1A5C">
      <w:pPr>
        <w:autoSpaceDE w:val="0"/>
        <w:autoSpaceDN w:val="0"/>
        <w:adjustRightInd w:val="0"/>
        <w:spacing w:after="0" w:line="240" w:lineRule="auto"/>
        <w:rPr>
          <w:rFonts w:cs="MyriadPro-Bold"/>
          <w:bCs/>
        </w:rPr>
      </w:pPr>
    </w:p>
    <w:p w:rsidR="00AD1A5C" w:rsidRPr="00317641" w:rsidRDefault="00317641" w:rsidP="00C810C0">
      <w:pPr>
        <w:pStyle w:val="Titre3"/>
        <w:spacing w:before="0"/>
        <w:rPr>
          <w:rFonts w:asciiTheme="minorHAnsi" w:hAnsiTheme="minorHAnsi" w:cs="ACaslonPro-Regular"/>
          <w:color w:val="auto"/>
        </w:rPr>
      </w:pPr>
      <w:bookmarkStart w:id="40" w:name="_Toc425414575"/>
      <w:r w:rsidRPr="00317641">
        <w:rPr>
          <w:rFonts w:asciiTheme="minorHAnsi" w:hAnsiTheme="minorHAnsi" w:cs="Calibri"/>
          <w:color w:val="auto"/>
        </w:rPr>
        <w:t xml:space="preserve">III.1.3 </w:t>
      </w:r>
      <w:r w:rsidR="00AD1A5C" w:rsidRPr="00317641">
        <w:rPr>
          <w:rFonts w:asciiTheme="minorHAnsi" w:hAnsiTheme="minorHAnsi" w:cs="ACaslonPro-Regular"/>
          <w:color w:val="auto"/>
        </w:rPr>
        <w:t>Enseignements tirés des autres projets pertinents incorporésdans la conception du projet</w:t>
      </w:r>
      <w:bookmarkEnd w:id="40"/>
    </w:p>
    <w:p w:rsidR="00317641" w:rsidRDefault="00317641" w:rsidP="00B0461A">
      <w:pPr>
        <w:autoSpaceDE w:val="0"/>
        <w:autoSpaceDN w:val="0"/>
        <w:adjustRightInd w:val="0"/>
        <w:spacing w:after="0" w:line="240" w:lineRule="auto"/>
        <w:rPr>
          <w:rFonts w:ascii="Calibri" w:hAnsi="Calibri" w:cs="Calibri"/>
        </w:rPr>
      </w:pPr>
    </w:p>
    <w:p w:rsidR="00F36AC6" w:rsidRPr="00F36AC6" w:rsidRDefault="00F36AC6" w:rsidP="00BD7AD4">
      <w:pPr>
        <w:autoSpaceDE w:val="0"/>
        <w:autoSpaceDN w:val="0"/>
        <w:adjustRightInd w:val="0"/>
        <w:spacing w:after="0" w:line="240" w:lineRule="auto"/>
        <w:jc w:val="both"/>
        <w:rPr>
          <w:rFonts w:ascii="Calibri" w:hAnsi="Calibri" w:cs="Calibri"/>
        </w:rPr>
      </w:pPr>
      <w:r w:rsidRPr="00F36AC6">
        <w:rPr>
          <w:rFonts w:ascii="Calibri" w:hAnsi="Calibri" w:cs="Calibri"/>
        </w:rPr>
        <w:t xml:space="preserve">La conception du projet a pris en considération les leçons tirées de projets similaires destinés à soutenir le développement durable au niveau local, notamment l’évaluation du projet Agenda 21. </w:t>
      </w:r>
      <w:r>
        <w:rPr>
          <w:rFonts w:ascii="Calibri" w:hAnsi="Calibri" w:cs="Calibri"/>
        </w:rPr>
        <w:t xml:space="preserve">Cette dernière </w:t>
      </w:r>
      <w:r w:rsidRPr="00F36AC6">
        <w:rPr>
          <w:rFonts w:ascii="Calibri" w:hAnsi="Calibri" w:cs="Calibri"/>
        </w:rPr>
        <w:t>a montré que les futures actions pour l’institutionnalisation du programme doit être axée sur trois dimensions complémentaires qui permettraient une définition claire de leurs rôles au sein des services techniques existants :</w:t>
      </w:r>
      <w:r w:rsidR="00BD7AD4">
        <w:rPr>
          <w:rFonts w:ascii="Calibri" w:hAnsi="Calibri" w:cs="Calibri"/>
        </w:rPr>
        <w:t xml:space="preserve"> i) </w:t>
      </w:r>
      <w:r w:rsidRPr="00F36AC6">
        <w:rPr>
          <w:rFonts w:ascii="Calibri" w:hAnsi="Calibri" w:cs="Calibri"/>
        </w:rPr>
        <w:t>L’ap</w:t>
      </w:r>
      <w:r>
        <w:rPr>
          <w:rFonts w:ascii="Calibri" w:hAnsi="Calibri" w:cs="Calibri"/>
        </w:rPr>
        <w:t xml:space="preserve">pui fourni à la société civile, </w:t>
      </w:r>
      <w:r w:rsidR="00BD7AD4">
        <w:rPr>
          <w:rFonts w:ascii="Calibri" w:hAnsi="Calibri" w:cs="Calibri"/>
        </w:rPr>
        <w:t xml:space="preserve">ii) </w:t>
      </w:r>
      <w:r w:rsidRPr="00F36AC6">
        <w:rPr>
          <w:rFonts w:ascii="Calibri" w:hAnsi="Calibri" w:cs="Calibri"/>
        </w:rPr>
        <w:t>L’</w:t>
      </w:r>
      <w:r>
        <w:rPr>
          <w:rFonts w:ascii="Calibri" w:hAnsi="Calibri" w:cs="Calibri"/>
        </w:rPr>
        <w:t>appu</w:t>
      </w:r>
      <w:r w:rsidR="00BD7AD4">
        <w:rPr>
          <w:rFonts w:ascii="Calibri" w:hAnsi="Calibri" w:cs="Calibri"/>
        </w:rPr>
        <w:t>i fourni aux municipalités, iii)</w:t>
      </w:r>
      <w:r w:rsidRPr="00F36AC6">
        <w:rPr>
          <w:rFonts w:ascii="Calibri" w:hAnsi="Calibri" w:cs="Calibri"/>
        </w:rPr>
        <w:t>L’appui fourni à une mise en œuvre continue du prog</w:t>
      </w:r>
      <w:r w:rsidR="00BD7AD4">
        <w:rPr>
          <w:rFonts w:ascii="Calibri" w:hAnsi="Calibri" w:cs="Calibri"/>
        </w:rPr>
        <w:t>ramme local de l’Agenda 21.</w:t>
      </w:r>
    </w:p>
    <w:p w:rsidR="00BD7AD4" w:rsidRDefault="00BD7AD4" w:rsidP="00F36AC6">
      <w:pPr>
        <w:autoSpaceDE w:val="0"/>
        <w:autoSpaceDN w:val="0"/>
        <w:adjustRightInd w:val="0"/>
        <w:spacing w:after="0" w:line="240" w:lineRule="auto"/>
        <w:jc w:val="both"/>
        <w:rPr>
          <w:rFonts w:ascii="Calibri" w:hAnsi="Calibri" w:cs="Calibri"/>
        </w:rPr>
      </w:pPr>
    </w:p>
    <w:p w:rsidR="00BD7AD4" w:rsidRPr="00BD7AD4" w:rsidRDefault="00BD7AD4" w:rsidP="00BD7AD4">
      <w:pPr>
        <w:autoSpaceDE w:val="0"/>
        <w:autoSpaceDN w:val="0"/>
        <w:adjustRightInd w:val="0"/>
        <w:spacing w:after="0" w:line="240" w:lineRule="auto"/>
        <w:jc w:val="both"/>
        <w:rPr>
          <w:rFonts w:ascii="Calibri" w:hAnsi="Calibri" w:cs="Calibri"/>
        </w:rPr>
      </w:pPr>
      <w:r>
        <w:rPr>
          <w:rFonts w:ascii="Calibri" w:hAnsi="Calibri" w:cs="Calibri"/>
        </w:rPr>
        <w:t>La stratégie du projet CB2</w:t>
      </w:r>
      <w:r w:rsidR="00643391">
        <w:rPr>
          <w:rFonts w:ascii="Calibri" w:hAnsi="Calibri" w:cs="Calibri"/>
        </w:rPr>
        <w:t xml:space="preserve"> s’est inspirée des recommandations de l’évaluation du projet Agenda 21 au Maroc, et elle</w:t>
      </w:r>
      <w:r>
        <w:rPr>
          <w:rFonts w:ascii="Calibri" w:hAnsi="Calibri" w:cs="Calibri"/>
        </w:rPr>
        <w:t xml:space="preserve"> a consisté à adopter </w:t>
      </w:r>
      <w:r w:rsidRPr="00BD7AD4">
        <w:rPr>
          <w:rFonts w:ascii="Calibri" w:hAnsi="Calibri" w:cs="Calibri"/>
        </w:rPr>
        <w:t>une approche en plusieurs volets pour catalyser l’intégration de l’environnement mondial dans l’INDH et dans le processus de pl</w:t>
      </w:r>
      <w:r>
        <w:rPr>
          <w:rFonts w:ascii="Calibri" w:hAnsi="Calibri" w:cs="Calibri"/>
        </w:rPr>
        <w:t xml:space="preserve">anification stratégique locale. Cette approche vise à transformer les activités du projet, dès le début de sa mise en œuvre, en </w:t>
      </w:r>
      <w:r w:rsidR="00EF2F9D">
        <w:rPr>
          <w:rFonts w:ascii="Calibri" w:hAnsi="Calibri" w:cs="Calibri"/>
        </w:rPr>
        <w:lastRenderedPageBreak/>
        <w:t xml:space="preserve">actions </w:t>
      </w:r>
      <w:r>
        <w:rPr>
          <w:rFonts w:ascii="Calibri" w:hAnsi="Calibri" w:cs="Calibri"/>
        </w:rPr>
        <w:t>de sensibilisation adressé</w:t>
      </w:r>
      <w:r w:rsidR="00890A1B">
        <w:rPr>
          <w:rFonts w:ascii="Calibri" w:hAnsi="Calibri" w:cs="Calibri"/>
        </w:rPr>
        <w:t>e</w:t>
      </w:r>
      <w:r>
        <w:rPr>
          <w:rFonts w:ascii="Calibri" w:hAnsi="Calibri" w:cs="Calibri"/>
        </w:rPr>
        <w:t>s à tous les acteurs locaux et en cellules d’appui pour les élus, les techniciens et les associations. La section suivante apporte plus d’éclairage sur cet aspect.</w:t>
      </w:r>
    </w:p>
    <w:p w:rsidR="00BD7AD4" w:rsidRDefault="00BD7AD4" w:rsidP="00F36AC6">
      <w:pPr>
        <w:autoSpaceDE w:val="0"/>
        <w:autoSpaceDN w:val="0"/>
        <w:adjustRightInd w:val="0"/>
        <w:spacing w:after="0" w:line="240" w:lineRule="auto"/>
        <w:jc w:val="both"/>
        <w:rPr>
          <w:rFonts w:ascii="Calibri" w:hAnsi="Calibri" w:cs="Calibri"/>
        </w:rPr>
      </w:pPr>
    </w:p>
    <w:p w:rsidR="00B0461A" w:rsidRPr="00317641" w:rsidRDefault="00317641" w:rsidP="00C810C0">
      <w:pPr>
        <w:pStyle w:val="Titre3"/>
        <w:spacing w:before="0"/>
        <w:rPr>
          <w:rFonts w:asciiTheme="minorHAnsi" w:hAnsiTheme="minorHAnsi" w:cs="Calibri"/>
          <w:color w:val="auto"/>
        </w:rPr>
      </w:pPr>
      <w:bookmarkStart w:id="41" w:name="_Toc425414576"/>
      <w:r w:rsidRPr="00317641">
        <w:rPr>
          <w:rFonts w:asciiTheme="minorHAnsi" w:hAnsiTheme="minorHAnsi" w:cs="Calibri"/>
          <w:color w:val="auto"/>
        </w:rPr>
        <w:t xml:space="preserve">III.1.4 </w:t>
      </w:r>
      <w:r w:rsidR="00B0461A" w:rsidRPr="00317641">
        <w:rPr>
          <w:rFonts w:asciiTheme="minorHAnsi" w:hAnsiTheme="minorHAnsi" w:cs="Calibri"/>
          <w:color w:val="auto"/>
        </w:rPr>
        <w:t>Participation prévue des parties prenantes</w:t>
      </w:r>
      <w:bookmarkEnd w:id="41"/>
    </w:p>
    <w:p w:rsidR="00317641" w:rsidRDefault="00317641" w:rsidP="00B0461A">
      <w:pPr>
        <w:autoSpaceDE w:val="0"/>
        <w:autoSpaceDN w:val="0"/>
        <w:adjustRightInd w:val="0"/>
        <w:spacing w:after="0" w:line="240" w:lineRule="auto"/>
        <w:rPr>
          <w:rFonts w:ascii="Calibri" w:hAnsi="Calibri" w:cs="Calibri"/>
        </w:rPr>
      </w:pPr>
    </w:p>
    <w:p w:rsidR="00F12CC8" w:rsidRDefault="00F12CC8" w:rsidP="00BC2AF2">
      <w:pPr>
        <w:autoSpaceDE w:val="0"/>
        <w:autoSpaceDN w:val="0"/>
        <w:adjustRightInd w:val="0"/>
        <w:spacing w:after="0" w:line="240" w:lineRule="auto"/>
        <w:jc w:val="both"/>
        <w:rPr>
          <w:rFonts w:ascii="Calibri" w:hAnsi="Calibri" w:cs="Calibri"/>
        </w:rPr>
      </w:pPr>
      <w:r>
        <w:rPr>
          <w:rFonts w:ascii="Calibri" w:hAnsi="Calibri" w:cs="Calibri"/>
        </w:rPr>
        <w:t>Dès sa conception, le projet CB2 a pris le soin d’impliquer tous les acteurs susceptibles d’être intéressés par le projet. La liste de ces acteurs fut élaborée sur la base de la liste des acteurs ayant participé à la première phase du projet ANCRE. Par la suite, un atelier national de présentation du projet fut tenu et auquel ont participé tous les acteurs identifiés.</w:t>
      </w:r>
    </w:p>
    <w:p w:rsidR="00F12CC8" w:rsidRPr="00F12CC8" w:rsidRDefault="00F12CC8" w:rsidP="00F12CC8">
      <w:pPr>
        <w:autoSpaceDE w:val="0"/>
        <w:autoSpaceDN w:val="0"/>
        <w:adjustRightInd w:val="0"/>
        <w:spacing w:after="0" w:line="240" w:lineRule="auto"/>
        <w:rPr>
          <w:rFonts w:ascii="Calibri" w:hAnsi="Calibri" w:cs="Calibri"/>
        </w:rPr>
      </w:pPr>
      <w:r w:rsidRPr="00F12CC8">
        <w:rPr>
          <w:rFonts w:ascii="Calibri" w:hAnsi="Calibri" w:cs="Calibri"/>
        </w:rPr>
        <w:t xml:space="preserve">Les principales parties prenantes </w:t>
      </w:r>
      <w:r w:rsidR="00BC2AF2">
        <w:rPr>
          <w:rFonts w:ascii="Calibri" w:hAnsi="Calibri" w:cs="Calibri"/>
        </w:rPr>
        <w:t xml:space="preserve">identifiées comme étant </w:t>
      </w:r>
      <w:r w:rsidRPr="00F12CC8">
        <w:rPr>
          <w:rFonts w:ascii="Calibri" w:hAnsi="Calibri" w:cs="Calibri"/>
        </w:rPr>
        <w:t>les premiers bénéficiaires de la mise en œuvre du projet sont :</w:t>
      </w:r>
    </w:p>
    <w:p w:rsidR="00F12CC8" w:rsidRPr="00F12CC8" w:rsidRDefault="00F12CC8" w:rsidP="00F12CC8">
      <w:pPr>
        <w:pStyle w:val="Paragraphedeliste"/>
        <w:numPr>
          <w:ilvl w:val="0"/>
          <w:numId w:val="7"/>
        </w:numPr>
        <w:autoSpaceDE w:val="0"/>
        <w:autoSpaceDN w:val="0"/>
        <w:adjustRightInd w:val="0"/>
        <w:spacing w:after="0" w:line="240" w:lineRule="auto"/>
        <w:rPr>
          <w:rFonts w:ascii="Calibri" w:hAnsi="Calibri" w:cs="Calibri"/>
        </w:rPr>
      </w:pPr>
      <w:r w:rsidRPr="00F12CC8">
        <w:rPr>
          <w:rFonts w:ascii="Calibri" w:hAnsi="Calibri" w:cs="Calibri"/>
        </w:rPr>
        <w:t>Ministère de l’Intérieur</w:t>
      </w:r>
      <w:r w:rsidR="008F6041">
        <w:rPr>
          <w:rFonts w:ascii="Calibri" w:hAnsi="Calibri" w:cs="Calibri"/>
        </w:rPr>
        <w:t xml:space="preserve"> (MI)</w:t>
      </w:r>
      <w:r w:rsidR="00E57AA8">
        <w:rPr>
          <w:rFonts w:ascii="Calibri" w:hAnsi="Calibri" w:cs="Calibri"/>
        </w:rPr>
        <w:t>/DGCL</w:t>
      </w:r>
    </w:p>
    <w:p w:rsidR="00F12CC8" w:rsidRPr="00F12CC8" w:rsidRDefault="008F6041" w:rsidP="00F12CC8">
      <w:pPr>
        <w:pStyle w:val="Paragraphedeliste"/>
        <w:numPr>
          <w:ilvl w:val="0"/>
          <w:numId w:val="7"/>
        </w:numPr>
        <w:autoSpaceDE w:val="0"/>
        <w:autoSpaceDN w:val="0"/>
        <w:adjustRightInd w:val="0"/>
        <w:spacing w:after="0" w:line="240" w:lineRule="auto"/>
        <w:rPr>
          <w:rFonts w:ascii="Calibri" w:hAnsi="Calibri" w:cs="Calibri"/>
        </w:rPr>
      </w:pPr>
      <w:r>
        <w:rPr>
          <w:rFonts w:ascii="Calibri" w:hAnsi="Calibri" w:cs="Calibri"/>
        </w:rPr>
        <w:t>Ministère Délégué Chargé de l’Environnement (MDCE)</w:t>
      </w:r>
    </w:p>
    <w:p w:rsidR="00F12CC8" w:rsidRPr="00F12CC8" w:rsidRDefault="008F6041" w:rsidP="00F12CC8">
      <w:pPr>
        <w:pStyle w:val="Paragraphedeliste"/>
        <w:numPr>
          <w:ilvl w:val="0"/>
          <w:numId w:val="7"/>
        </w:numPr>
        <w:autoSpaceDE w:val="0"/>
        <w:autoSpaceDN w:val="0"/>
        <w:adjustRightInd w:val="0"/>
        <w:spacing w:after="0" w:line="240" w:lineRule="auto"/>
        <w:rPr>
          <w:rFonts w:ascii="Calibri" w:hAnsi="Calibri" w:cs="Calibri"/>
        </w:rPr>
      </w:pPr>
      <w:r>
        <w:rPr>
          <w:rFonts w:ascii="Calibri" w:hAnsi="Calibri" w:cs="Calibri"/>
        </w:rPr>
        <w:t>Agence de Développement Social (ADS)</w:t>
      </w:r>
    </w:p>
    <w:p w:rsidR="00F12CC8" w:rsidRPr="00F12CC8" w:rsidRDefault="00F12CC8" w:rsidP="00F12CC8">
      <w:pPr>
        <w:pStyle w:val="Paragraphedeliste"/>
        <w:numPr>
          <w:ilvl w:val="0"/>
          <w:numId w:val="7"/>
        </w:numPr>
        <w:autoSpaceDE w:val="0"/>
        <w:autoSpaceDN w:val="0"/>
        <w:adjustRightInd w:val="0"/>
        <w:spacing w:after="0" w:line="240" w:lineRule="auto"/>
        <w:rPr>
          <w:rFonts w:ascii="Calibri" w:hAnsi="Calibri" w:cs="Calibri"/>
        </w:rPr>
      </w:pPr>
      <w:r w:rsidRPr="00F12CC8">
        <w:rPr>
          <w:rFonts w:ascii="Calibri" w:hAnsi="Calibri" w:cs="Calibri"/>
        </w:rPr>
        <w:t>M</w:t>
      </w:r>
      <w:r w:rsidR="008F6041">
        <w:rPr>
          <w:rFonts w:ascii="Calibri" w:hAnsi="Calibri" w:cs="Calibri"/>
        </w:rPr>
        <w:t>inistère de l’Agriculture et de la Pêche Maritime (M</w:t>
      </w:r>
      <w:r w:rsidRPr="00F12CC8">
        <w:rPr>
          <w:rFonts w:ascii="Calibri" w:hAnsi="Calibri" w:cs="Calibri"/>
        </w:rPr>
        <w:t>APM</w:t>
      </w:r>
      <w:r w:rsidR="008F6041">
        <w:rPr>
          <w:rFonts w:ascii="Calibri" w:hAnsi="Calibri" w:cs="Calibri"/>
        </w:rPr>
        <w:t>)</w:t>
      </w:r>
    </w:p>
    <w:p w:rsidR="00F12CC8" w:rsidRPr="00F12CC8" w:rsidRDefault="00B32E35" w:rsidP="00B32E35">
      <w:pPr>
        <w:pStyle w:val="Paragraphedeliste"/>
        <w:numPr>
          <w:ilvl w:val="0"/>
          <w:numId w:val="7"/>
        </w:numPr>
        <w:autoSpaceDE w:val="0"/>
        <w:autoSpaceDN w:val="0"/>
        <w:adjustRightInd w:val="0"/>
        <w:spacing w:after="0" w:line="240" w:lineRule="auto"/>
        <w:rPr>
          <w:rFonts w:ascii="Calibri" w:hAnsi="Calibri" w:cs="Calibri"/>
        </w:rPr>
      </w:pPr>
      <w:r w:rsidRPr="00B32E35">
        <w:rPr>
          <w:rFonts w:ascii="Calibri" w:hAnsi="Calibri" w:cs="Calibri"/>
        </w:rPr>
        <w:t>Ministre du Développement social, de la Famille et de la Solidarité</w:t>
      </w:r>
      <w:r w:rsidR="008F6041">
        <w:rPr>
          <w:rFonts w:ascii="Calibri" w:hAnsi="Calibri" w:cs="Calibri"/>
        </w:rPr>
        <w:t>(M</w:t>
      </w:r>
      <w:r w:rsidR="00F12CC8" w:rsidRPr="00F12CC8">
        <w:rPr>
          <w:rFonts w:ascii="Calibri" w:hAnsi="Calibri" w:cs="Calibri"/>
        </w:rPr>
        <w:t>D</w:t>
      </w:r>
      <w:r>
        <w:rPr>
          <w:rFonts w:ascii="Calibri" w:hAnsi="Calibri" w:cs="Calibri"/>
        </w:rPr>
        <w:t>S</w:t>
      </w:r>
      <w:r w:rsidR="00F12CC8" w:rsidRPr="00F12CC8">
        <w:rPr>
          <w:rFonts w:ascii="Calibri" w:hAnsi="Calibri" w:cs="Calibri"/>
        </w:rPr>
        <w:t>FS</w:t>
      </w:r>
      <w:r w:rsidR="008F6041">
        <w:rPr>
          <w:rFonts w:ascii="Calibri" w:hAnsi="Calibri" w:cs="Calibri"/>
        </w:rPr>
        <w:t>)</w:t>
      </w:r>
    </w:p>
    <w:p w:rsidR="00F12CC8" w:rsidRPr="00F12CC8" w:rsidRDefault="00F12CC8" w:rsidP="00F12CC8">
      <w:pPr>
        <w:pStyle w:val="Paragraphedeliste"/>
        <w:numPr>
          <w:ilvl w:val="0"/>
          <w:numId w:val="7"/>
        </w:numPr>
        <w:autoSpaceDE w:val="0"/>
        <w:autoSpaceDN w:val="0"/>
        <w:adjustRightInd w:val="0"/>
        <w:spacing w:after="0" w:line="240" w:lineRule="auto"/>
        <w:rPr>
          <w:rFonts w:ascii="Calibri" w:hAnsi="Calibri" w:cs="Calibri"/>
        </w:rPr>
      </w:pPr>
      <w:r w:rsidRPr="00F12CC8">
        <w:rPr>
          <w:rFonts w:ascii="Calibri" w:hAnsi="Calibri" w:cs="Calibri"/>
        </w:rPr>
        <w:t>O</w:t>
      </w:r>
      <w:r w:rsidR="008F6041">
        <w:rPr>
          <w:rFonts w:ascii="Calibri" w:hAnsi="Calibri" w:cs="Calibri"/>
        </w:rPr>
        <w:t xml:space="preserve">rganisations </w:t>
      </w:r>
      <w:r w:rsidRPr="00F12CC8">
        <w:rPr>
          <w:rFonts w:ascii="Calibri" w:hAnsi="Calibri" w:cs="Calibri"/>
        </w:rPr>
        <w:t>N</w:t>
      </w:r>
      <w:r w:rsidR="008F6041">
        <w:rPr>
          <w:rFonts w:ascii="Calibri" w:hAnsi="Calibri" w:cs="Calibri"/>
        </w:rPr>
        <w:t xml:space="preserve">on </w:t>
      </w:r>
      <w:r w:rsidRPr="00F12CC8">
        <w:rPr>
          <w:rFonts w:ascii="Calibri" w:hAnsi="Calibri" w:cs="Calibri"/>
        </w:rPr>
        <w:t>G</w:t>
      </w:r>
      <w:r w:rsidR="008F6041">
        <w:rPr>
          <w:rFonts w:ascii="Calibri" w:hAnsi="Calibri" w:cs="Calibri"/>
        </w:rPr>
        <w:t>ouvernementales (ONG)</w:t>
      </w:r>
    </w:p>
    <w:p w:rsidR="00F12CC8" w:rsidRPr="00F12CC8" w:rsidRDefault="00F12CC8" w:rsidP="00F12CC8">
      <w:pPr>
        <w:pStyle w:val="Paragraphedeliste"/>
        <w:numPr>
          <w:ilvl w:val="0"/>
          <w:numId w:val="7"/>
        </w:numPr>
        <w:autoSpaceDE w:val="0"/>
        <w:autoSpaceDN w:val="0"/>
        <w:adjustRightInd w:val="0"/>
        <w:spacing w:after="0" w:line="240" w:lineRule="auto"/>
        <w:rPr>
          <w:rFonts w:ascii="Calibri" w:hAnsi="Calibri" w:cs="Calibri"/>
        </w:rPr>
      </w:pPr>
      <w:r w:rsidRPr="00F12CC8">
        <w:rPr>
          <w:rFonts w:ascii="Calibri" w:hAnsi="Calibri" w:cs="Calibri"/>
        </w:rPr>
        <w:t>Centres de recherche</w:t>
      </w:r>
    </w:p>
    <w:p w:rsidR="00BC2AF2" w:rsidRDefault="00BC2AF2" w:rsidP="00B0461A">
      <w:pPr>
        <w:autoSpaceDE w:val="0"/>
        <w:autoSpaceDN w:val="0"/>
        <w:adjustRightInd w:val="0"/>
        <w:spacing w:after="0" w:line="240" w:lineRule="auto"/>
        <w:rPr>
          <w:rFonts w:ascii="Calibri" w:hAnsi="Calibri" w:cs="Calibri"/>
        </w:rPr>
      </w:pPr>
    </w:p>
    <w:p w:rsidR="00F12CC8" w:rsidRDefault="00F36AC6" w:rsidP="00B0461A">
      <w:pPr>
        <w:autoSpaceDE w:val="0"/>
        <w:autoSpaceDN w:val="0"/>
        <w:adjustRightInd w:val="0"/>
        <w:spacing w:after="0" w:line="240" w:lineRule="auto"/>
        <w:rPr>
          <w:rFonts w:ascii="Calibri" w:hAnsi="Calibri" w:cs="Calibri"/>
        </w:rPr>
      </w:pPr>
      <w:r>
        <w:rPr>
          <w:rFonts w:ascii="Calibri" w:hAnsi="Calibri" w:cs="Calibri"/>
        </w:rPr>
        <w:t>L</w:t>
      </w:r>
      <w:r w:rsidR="00604D3A">
        <w:rPr>
          <w:rFonts w:ascii="Calibri" w:hAnsi="Calibri" w:cs="Calibri"/>
        </w:rPr>
        <w:t>’annexe 5 du</w:t>
      </w:r>
      <w:r>
        <w:rPr>
          <w:rFonts w:ascii="Calibri" w:hAnsi="Calibri" w:cs="Calibri"/>
        </w:rPr>
        <w:t xml:space="preserve"> ProDoc décrit leurs implications et </w:t>
      </w:r>
      <w:r w:rsidR="00B32E35">
        <w:rPr>
          <w:rFonts w:ascii="Calibri" w:hAnsi="Calibri" w:cs="Calibri"/>
        </w:rPr>
        <w:t>leurs rôles</w:t>
      </w:r>
      <w:r>
        <w:rPr>
          <w:rFonts w:ascii="Calibri" w:hAnsi="Calibri" w:cs="Calibri"/>
        </w:rPr>
        <w:t xml:space="preserve"> dans le cadre du projet.</w:t>
      </w:r>
    </w:p>
    <w:p w:rsidR="00BC2AF2" w:rsidRDefault="00BC2AF2" w:rsidP="008F6041">
      <w:pPr>
        <w:autoSpaceDE w:val="0"/>
        <w:autoSpaceDN w:val="0"/>
        <w:adjustRightInd w:val="0"/>
        <w:spacing w:after="0" w:line="240" w:lineRule="auto"/>
        <w:jc w:val="both"/>
        <w:rPr>
          <w:rFonts w:ascii="Calibri" w:hAnsi="Calibri" w:cs="Calibri"/>
        </w:rPr>
      </w:pPr>
    </w:p>
    <w:p w:rsidR="00F12CC8" w:rsidRDefault="008F6041" w:rsidP="008F6041">
      <w:pPr>
        <w:autoSpaceDE w:val="0"/>
        <w:autoSpaceDN w:val="0"/>
        <w:adjustRightInd w:val="0"/>
        <w:spacing w:after="0" w:line="240" w:lineRule="auto"/>
        <w:jc w:val="both"/>
        <w:rPr>
          <w:rFonts w:ascii="Calibri" w:hAnsi="Calibri" w:cs="Calibri"/>
        </w:rPr>
      </w:pPr>
      <w:r>
        <w:rPr>
          <w:rFonts w:ascii="Calibri" w:hAnsi="Calibri" w:cs="Calibri"/>
        </w:rPr>
        <w:t>Sur le plan décisionnel, les représentants du MI (DEA-DGCL et INDH), du MDCE (DPCC) ainsi que les représentants del’</w:t>
      </w:r>
      <w:r w:rsidRPr="00F12CC8">
        <w:rPr>
          <w:rFonts w:ascii="Calibri" w:hAnsi="Calibri" w:cs="Calibri"/>
        </w:rPr>
        <w:t xml:space="preserve">agence d’exécution </w:t>
      </w:r>
      <w:r w:rsidR="00B32E35">
        <w:rPr>
          <w:rFonts w:ascii="Calibri" w:hAnsi="Calibri" w:cs="Calibri"/>
        </w:rPr>
        <w:t>(</w:t>
      </w:r>
      <w:r w:rsidRPr="00F12CC8">
        <w:rPr>
          <w:rFonts w:ascii="Calibri" w:hAnsi="Calibri" w:cs="Calibri"/>
        </w:rPr>
        <w:t>PNUD</w:t>
      </w:r>
      <w:r w:rsidR="00B32E35">
        <w:rPr>
          <w:rFonts w:ascii="Calibri" w:hAnsi="Calibri" w:cs="Calibri"/>
        </w:rPr>
        <w:t>)</w:t>
      </w:r>
      <w:r w:rsidRPr="00F12CC8">
        <w:rPr>
          <w:rFonts w:ascii="Calibri" w:hAnsi="Calibri" w:cs="Calibri"/>
        </w:rPr>
        <w:t xml:space="preserve"> ont été impliqués dans </w:t>
      </w:r>
      <w:r w:rsidR="00B32E35">
        <w:rPr>
          <w:rFonts w:ascii="Calibri" w:hAnsi="Calibri" w:cs="Calibri"/>
        </w:rPr>
        <w:t xml:space="preserve">le </w:t>
      </w:r>
      <w:r>
        <w:rPr>
          <w:rFonts w:ascii="Calibri" w:hAnsi="Calibri" w:cs="Calibri"/>
        </w:rPr>
        <w:t>Comité de pilotage</w:t>
      </w:r>
      <w:r w:rsidRPr="00F12CC8">
        <w:rPr>
          <w:rFonts w:ascii="Calibri" w:hAnsi="Calibri" w:cs="Calibri"/>
        </w:rPr>
        <w:t xml:space="preserve"> du projet. Ce dernier se réunit une fois par an pour valider les rapports d’activités des années précéden</w:t>
      </w:r>
      <w:r>
        <w:rPr>
          <w:rFonts w:ascii="Calibri" w:hAnsi="Calibri" w:cs="Calibri"/>
        </w:rPr>
        <w:t xml:space="preserve">tes et le plan d’actions annuel). Il </w:t>
      </w:r>
      <w:r w:rsidRPr="008F6041">
        <w:rPr>
          <w:rFonts w:ascii="Calibri" w:hAnsi="Calibri" w:cs="Calibri"/>
        </w:rPr>
        <w:t>est chargé de la direction globale et de la gestion du projet et dirige le projet dans les limites établies par la direction générale du projet.</w:t>
      </w:r>
    </w:p>
    <w:p w:rsidR="00B0461A" w:rsidRDefault="00442C7E" w:rsidP="00BC2AF2">
      <w:pPr>
        <w:autoSpaceDE w:val="0"/>
        <w:autoSpaceDN w:val="0"/>
        <w:adjustRightInd w:val="0"/>
        <w:spacing w:after="0" w:line="240" w:lineRule="auto"/>
        <w:jc w:val="both"/>
        <w:rPr>
          <w:rFonts w:ascii="Calibri" w:hAnsi="Calibri" w:cs="Calibri"/>
        </w:rPr>
      </w:pPr>
      <w:r>
        <w:rPr>
          <w:rFonts w:ascii="Calibri" w:hAnsi="Calibri" w:cs="Calibri"/>
        </w:rPr>
        <w:t>Sur le plan opérationnel, la majorité des parties prenantes a été impliquée à deux niveaux : i) gestion locale en</w:t>
      </w:r>
      <w:r w:rsidR="00DE6C57">
        <w:rPr>
          <w:rFonts w:ascii="Calibri" w:hAnsi="Calibri" w:cs="Calibri"/>
        </w:rPr>
        <w:t xml:space="preserve"> siégeant au sein des Groupe</w:t>
      </w:r>
      <w:r>
        <w:rPr>
          <w:rFonts w:ascii="Calibri" w:hAnsi="Calibri" w:cs="Calibri"/>
        </w:rPr>
        <w:t xml:space="preserve">s </w:t>
      </w:r>
      <w:r w:rsidR="00DE6C57">
        <w:rPr>
          <w:rFonts w:ascii="Calibri" w:hAnsi="Calibri" w:cs="Calibri"/>
        </w:rPr>
        <w:t>Régionaux sur les Enjeux Environnementaux Transversaux (GREET)</w:t>
      </w:r>
      <w:r w:rsidR="00BC2AF2">
        <w:t>composés par 1</w:t>
      </w:r>
      <w:r w:rsidR="00BC2AF2" w:rsidRPr="00BC2AF2">
        <w:t>/</w:t>
      </w:r>
      <w:r w:rsidR="00BC2AF2">
        <w:t xml:space="preserve">3 représentants des institutions publiques, </w:t>
      </w:r>
      <w:r w:rsidR="00BC2AF2" w:rsidRPr="00BC2AF2">
        <w:t>1/3</w:t>
      </w:r>
      <w:r w:rsidR="00BC2AF2">
        <w:t xml:space="preserve"> des collectivités territoriales et </w:t>
      </w:r>
      <w:r w:rsidR="00BC2AF2" w:rsidRPr="00BC2AF2">
        <w:t>1/3</w:t>
      </w:r>
      <w:r w:rsidR="00BC2AF2">
        <w:t xml:space="preserve"> d’autres acteurs (privé, universités, centres de recherches, ONG, associations, etc.). Un groupe restreint au sein du GREET </w:t>
      </w:r>
      <w:r w:rsidR="00BC2AF2" w:rsidRPr="00BC2AF2">
        <w:rPr>
          <w:rFonts w:ascii="Calibri" w:hAnsi="Calibri" w:cs="Calibri"/>
        </w:rPr>
        <w:t xml:space="preserve">constitué </w:t>
      </w:r>
      <w:r w:rsidR="00733558" w:rsidRPr="00BC2AF2">
        <w:rPr>
          <w:rFonts w:ascii="Calibri" w:hAnsi="Calibri" w:cs="Calibri"/>
        </w:rPr>
        <w:t>par un</w:t>
      </w:r>
      <w:r w:rsidR="00BC2AF2" w:rsidRPr="00BC2AF2">
        <w:rPr>
          <w:rFonts w:ascii="Calibri" w:hAnsi="Calibri" w:cs="Calibri"/>
        </w:rPr>
        <w:t xml:space="preserve"> représentant du conseil régional (président de la commission environnement), un représentant de la Wilaya (Service environnement), le directeur de l’OREDD, et le Chef du Service régional de l’Environnement, constitue le comité de suivi local du projet CB2.</w:t>
      </w:r>
      <w:r w:rsidR="00BC2AF2">
        <w:rPr>
          <w:rFonts w:ascii="Calibri" w:hAnsi="Calibri" w:cs="Calibri"/>
        </w:rPr>
        <w:t xml:space="preserve"> ii) </w:t>
      </w:r>
      <w:r w:rsidR="00F12CC8" w:rsidRPr="00F12CC8">
        <w:rPr>
          <w:rFonts w:ascii="Calibri" w:hAnsi="Calibri" w:cs="Calibri"/>
        </w:rPr>
        <w:t xml:space="preserve">à travers des sessions de </w:t>
      </w:r>
      <w:r w:rsidR="00BC2AF2">
        <w:rPr>
          <w:rFonts w:ascii="Calibri" w:hAnsi="Calibri" w:cs="Calibri"/>
        </w:rPr>
        <w:t>formation technique sur lesoutils développés par le projet en vue de l’intégration de la gestion de l’environnement mondial au niveau local (IEL).</w:t>
      </w:r>
    </w:p>
    <w:p w:rsidR="0084351E" w:rsidRPr="00B0461A" w:rsidRDefault="0084351E" w:rsidP="00B0461A">
      <w:pPr>
        <w:autoSpaceDE w:val="0"/>
        <w:autoSpaceDN w:val="0"/>
        <w:adjustRightInd w:val="0"/>
        <w:spacing w:after="0" w:line="240" w:lineRule="auto"/>
        <w:rPr>
          <w:rFonts w:ascii="Calibri" w:hAnsi="Calibri" w:cs="Calibri"/>
        </w:rPr>
      </w:pPr>
    </w:p>
    <w:p w:rsidR="00AD1A5C" w:rsidRPr="00C810C0" w:rsidRDefault="00C810C0" w:rsidP="00C810C0">
      <w:pPr>
        <w:pStyle w:val="Titre3"/>
        <w:spacing w:before="0"/>
        <w:rPr>
          <w:rFonts w:asciiTheme="minorHAnsi" w:hAnsiTheme="minorHAnsi" w:cs="ACaslonPro-Regular"/>
          <w:color w:val="auto"/>
        </w:rPr>
      </w:pPr>
      <w:bookmarkStart w:id="42" w:name="_Toc425414577"/>
      <w:r w:rsidRPr="00C810C0">
        <w:rPr>
          <w:rFonts w:asciiTheme="minorHAnsi" w:hAnsiTheme="minorHAnsi" w:cs="ACaslonPro-Regular"/>
          <w:color w:val="auto"/>
        </w:rPr>
        <w:t xml:space="preserve">III.1.5 </w:t>
      </w:r>
      <w:r w:rsidR="00AD1A5C" w:rsidRPr="00C810C0">
        <w:rPr>
          <w:rFonts w:asciiTheme="minorHAnsi" w:hAnsiTheme="minorHAnsi" w:cs="ACaslonPro-Regular"/>
          <w:color w:val="auto"/>
        </w:rPr>
        <w:t>Approche de réplication</w:t>
      </w:r>
      <w:bookmarkEnd w:id="42"/>
    </w:p>
    <w:p w:rsidR="00604D3A" w:rsidRDefault="00604D3A" w:rsidP="00C60238">
      <w:pPr>
        <w:autoSpaceDE w:val="0"/>
        <w:autoSpaceDN w:val="0"/>
        <w:adjustRightInd w:val="0"/>
        <w:spacing w:after="0" w:line="240" w:lineRule="auto"/>
        <w:jc w:val="both"/>
        <w:rPr>
          <w:rFonts w:cs="ACaslonPro-Regular"/>
        </w:rPr>
      </w:pPr>
    </w:p>
    <w:p w:rsidR="00C810C0" w:rsidRDefault="00C60238" w:rsidP="00C60238">
      <w:pPr>
        <w:autoSpaceDE w:val="0"/>
        <w:autoSpaceDN w:val="0"/>
        <w:adjustRightInd w:val="0"/>
        <w:spacing w:after="0" w:line="240" w:lineRule="auto"/>
        <w:jc w:val="both"/>
        <w:rPr>
          <w:rFonts w:cs="ACaslonPro-Regular"/>
        </w:rPr>
      </w:pPr>
      <w:r w:rsidRPr="00C60238">
        <w:rPr>
          <w:rFonts w:cs="ACaslonPro-Regular"/>
        </w:rPr>
        <w:t>La reproductibilité des résultats du projet est au centre de la stratégie et de la conception du projet et sa stratégie vise à ce que l’approche du projet soit activement diffusée pour inspirer les initiatives similaires entreprises au Maroc et ailleurs</w:t>
      </w:r>
      <w:r>
        <w:rPr>
          <w:rFonts w:cs="ACaslonPro-Regular"/>
        </w:rPr>
        <w:t>. Ceci se traduit au niveau du cadre logique du projet CB2 par le résultat 3 qui vise à‘’</w:t>
      </w:r>
      <w:r w:rsidRPr="00C60238">
        <w:rPr>
          <w:rFonts w:cs="ACaslonPro-Regular"/>
          <w:i/>
        </w:rPr>
        <w:t>établir un mécanisme de gestion des connaissances, qui permettra de retenir et de codifier les principales leçons tirées ; les bonnes pratiques seront identifiées et diffusées à travers des circuits établis de communication</w:t>
      </w:r>
      <w:r>
        <w:rPr>
          <w:rFonts w:cs="ACaslonPro-Regular"/>
        </w:rPr>
        <w:t>’’.</w:t>
      </w:r>
    </w:p>
    <w:p w:rsidR="00BC2AF2" w:rsidRDefault="00C60238" w:rsidP="00DB739F">
      <w:pPr>
        <w:autoSpaceDE w:val="0"/>
        <w:autoSpaceDN w:val="0"/>
        <w:adjustRightInd w:val="0"/>
        <w:spacing w:after="0" w:line="240" w:lineRule="auto"/>
        <w:jc w:val="both"/>
        <w:rPr>
          <w:rFonts w:cs="ACaslonPro-Regular"/>
        </w:rPr>
      </w:pPr>
      <w:r>
        <w:rPr>
          <w:rFonts w:cs="ACaslonPro-Regular"/>
        </w:rPr>
        <w:t>Les structures institutionnelles mise</w:t>
      </w:r>
      <w:r w:rsidR="00DB739F">
        <w:rPr>
          <w:rFonts w:cs="ACaslonPro-Regular"/>
        </w:rPr>
        <w:t>s</w:t>
      </w:r>
      <w:r>
        <w:rPr>
          <w:rFonts w:cs="ACaslonPro-Regular"/>
        </w:rPr>
        <w:t xml:space="preserve"> en place dans le cadre du projet, ont été sensibilisées, formées et ont participé au suivi de la mise en œuvre</w:t>
      </w:r>
      <w:r w:rsidR="00DB739F">
        <w:rPr>
          <w:rFonts w:cs="ACaslonPro-Regular"/>
        </w:rPr>
        <w:t xml:space="preserve"> du projet. Elles sont formées de représentants de services extérieurs, d’autorité locale et du tissu associatif local. Ces représentants sont les acteurs du développement local et son outillés grâce au projet CB2 pour dupliquer l’approche IEL dans les autres communes dans le territoire de leur intervention.</w:t>
      </w:r>
    </w:p>
    <w:p w:rsidR="00C84500" w:rsidRDefault="00C84500" w:rsidP="00DB739F">
      <w:pPr>
        <w:autoSpaceDE w:val="0"/>
        <w:autoSpaceDN w:val="0"/>
        <w:adjustRightInd w:val="0"/>
        <w:spacing w:after="0" w:line="240" w:lineRule="auto"/>
        <w:jc w:val="both"/>
        <w:rPr>
          <w:rFonts w:cs="ACaslonPro-Regular"/>
        </w:rPr>
      </w:pPr>
    </w:p>
    <w:p w:rsidR="00DB739F" w:rsidRDefault="00DB739F" w:rsidP="00400487">
      <w:pPr>
        <w:autoSpaceDE w:val="0"/>
        <w:autoSpaceDN w:val="0"/>
        <w:adjustRightInd w:val="0"/>
        <w:spacing w:after="0" w:line="240" w:lineRule="auto"/>
        <w:jc w:val="both"/>
        <w:rPr>
          <w:rFonts w:cs="ACaslonPro-Regular"/>
        </w:rPr>
      </w:pPr>
      <w:r>
        <w:rPr>
          <w:rFonts w:cs="ACaslonPro-Regular"/>
        </w:rPr>
        <w:lastRenderedPageBreak/>
        <w:t xml:space="preserve">La communication et le partage d’informations sur les résultats du projet et sur les principales leçons ainsi que sur les bonnes pratiques identifiées seraient un atout majeur pour catalyser la réplication du projet CB2 dans l’ensemble des communes du Royaume, mais également dans les pays arabes voisins ainsi que dans les pays </w:t>
      </w:r>
      <w:r w:rsidR="00400487">
        <w:rPr>
          <w:rFonts w:cs="ACaslonPro-Regular"/>
        </w:rPr>
        <w:t>africains francophones.</w:t>
      </w:r>
    </w:p>
    <w:p w:rsidR="00400487" w:rsidRPr="00B0461A" w:rsidRDefault="00400487" w:rsidP="00400487">
      <w:pPr>
        <w:autoSpaceDE w:val="0"/>
        <w:autoSpaceDN w:val="0"/>
        <w:adjustRightInd w:val="0"/>
        <w:spacing w:after="0" w:line="240" w:lineRule="auto"/>
        <w:jc w:val="both"/>
        <w:rPr>
          <w:rFonts w:cs="ACaslonPro-Regular"/>
        </w:rPr>
      </w:pPr>
    </w:p>
    <w:p w:rsidR="00AD1A5C" w:rsidRPr="00C810C0" w:rsidRDefault="00C810C0" w:rsidP="00C810C0">
      <w:pPr>
        <w:pStyle w:val="Titre3"/>
        <w:spacing w:before="0"/>
        <w:rPr>
          <w:rFonts w:asciiTheme="minorHAnsi" w:hAnsiTheme="minorHAnsi" w:cs="ACaslonPro-Regular"/>
          <w:color w:val="auto"/>
        </w:rPr>
      </w:pPr>
      <w:bookmarkStart w:id="43" w:name="_Toc425414578"/>
      <w:r w:rsidRPr="00C810C0">
        <w:rPr>
          <w:rFonts w:asciiTheme="minorHAnsi" w:hAnsiTheme="minorHAnsi" w:cs="Calibri"/>
          <w:color w:val="auto"/>
        </w:rPr>
        <w:t xml:space="preserve">III.1.6 </w:t>
      </w:r>
      <w:r w:rsidR="00AD1A5C" w:rsidRPr="00C810C0">
        <w:rPr>
          <w:rFonts w:asciiTheme="minorHAnsi" w:hAnsiTheme="minorHAnsi" w:cs="ACaslonPro-Regular"/>
          <w:color w:val="auto"/>
        </w:rPr>
        <w:t>Avantage comparatif du PNUD</w:t>
      </w:r>
      <w:bookmarkEnd w:id="43"/>
    </w:p>
    <w:p w:rsidR="00C810C0" w:rsidRDefault="00400487" w:rsidP="00AD1A5C">
      <w:pPr>
        <w:autoSpaceDE w:val="0"/>
        <w:autoSpaceDN w:val="0"/>
        <w:adjustRightInd w:val="0"/>
        <w:spacing w:after="0" w:line="240" w:lineRule="auto"/>
        <w:rPr>
          <w:rFonts w:cs="Garamond"/>
          <w:color w:val="000000"/>
        </w:rPr>
      </w:pPr>
      <w:r w:rsidRPr="00400487">
        <w:rPr>
          <w:rFonts w:cs="Garamond"/>
          <w:color w:val="000000"/>
        </w:rPr>
        <w:t>L’avantage comparatif du PNUD dans le cadre de ce projet est présenté ci-après</w:t>
      </w:r>
      <w:r>
        <w:rPr>
          <w:rFonts w:cs="Garamond"/>
          <w:color w:val="000000"/>
        </w:rPr>
        <w:t> :</w:t>
      </w:r>
    </w:p>
    <w:p w:rsidR="00400487" w:rsidRPr="00400487" w:rsidRDefault="00400487" w:rsidP="00AD1A5C">
      <w:pPr>
        <w:autoSpaceDE w:val="0"/>
        <w:autoSpaceDN w:val="0"/>
        <w:adjustRightInd w:val="0"/>
        <w:spacing w:after="0" w:line="240" w:lineRule="auto"/>
        <w:rPr>
          <w:rFonts w:cs="ACaslonPro-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6564"/>
      </w:tblGrid>
      <w:tr w:rsidR="00400487" w:rsidRPr="00400487" w:rsidTr="00400487">
        <w:trPr>
          <w:trHeight w:val="111"/>
        </w:trPr>
        <w:tc>
          <w:tcPr>
            <w:tcW w:w="2660" w:type="dxa"/>
            <w:shd w:val="clear" w:color="auto" w:fill="BFBFBF" w:themeFill="background1" w:themeFillShade="BF"/>
          </w:tcPr>
          <w:p w:rsidR="00400487" w:rsidRPr="00400487" w:rsidRDefault="00400487" w:rsidP="00400487">
            <w:pPr>
              <w:autoSpaceDE w:val="0"/>
              <w:autoSpaceDN w:val="0"/>
              <w:adjustRightInd w:val="0"/>
              <w:spacing w:after="0" w:line="240" w:lineRule="auto"/>
              <w:jc w:val="center"/>
              <w:rPr>
                <w:rFonts w:cs="Garamond"/>
                <w:b/>
                <w:color w:val="000000"/>
              </w:rPr>
            </w:pPr>
            <w:r w:rsidRPr="00400487">
              <w:rPr>
                <w:rFonts w:cs="Garamond"/>
                <w:b/>
                <w:iCs/>
                <w:color w:val="000000"/>
              </w:rPr>
              <w:t>Axe</w:t>
            </w:r>
          </w:p>
        </w:tc>
        <w:tc>
          <w:tcPr>
            <w:tcW w:w="6564" w:type="dxa"/>
            <w:shd w:val="clear" w:color="auto" w:fill="BFBFBF" w:themeFill="background1" w:themeFillShade="BF"/>
          </w:tcPr>
          <w:p w:rsidR="00400487" w:rsidRPr="00400487" w:rsidRDefault="00400487" w:rsidP="00400487">
            <w:pPr>
              <w:autoSpaceDE w:val="0"/>
              <w:autoSpaceDN w:val="0"/>
              <w:adjustRightInd w:val="0"/>
              <w:spacing w:after="0" w:line="240" w:lineRule="auto"/>
              <w:jc w:val="center"/>
              <w:rPr>
                <w:rFonts w:cs="Garamond"/>
                <w:b/>
                <w:color w:val="000000"/>
              </w:rPr>
            </w:pPr>
            <w:r w:rsidRPr="00400487">
              <w:rPr>
                <w:rFonts w:cs="Garamond"/>
                <w:b/>
                <w:iCs/>
                <w:color w:val="000000"/>
              </w:rPr>
              <w:t>Composante</w:t>
            </w:r>
          </w:p>
        </w:tc>
      </w:tr>
      <w:tr w:rsidR="00400487" w:rsidRPr="00400487" w:rsidTr="00400487">
        <w:trPr>
          <w:trHeight w:val="727"/>
        </w:trPr>
        <w:tc>
          <w:tcPr>
            <w:tcW w:w="2660" w:type="dxa"/>
          </w:tcPr>
          <w:p w:rsidR="00400487" w:rsidRPr="00400487" w:rsidRDefault="00400487" w:rsidP="00400487">
            <w:pPr>
              <w:autoSpaceDE w:val="0"/>
              <w:autoSpaceDN w:val="0"/>
              <w:adjustRightInd w:val="0"/>
              <w:spacing w:after="0" w:line="240" w:lineRule="auto"/>
              <w:rPr>
                <w:rFonts w:cs="Garamond"/>
                <w:color w:val="000000"/>
              </w:rPr>
            </w:pPr>
            <w:r w:rsidRPr="00400487">
              <w:rPr>
                <w:rFonts w:cs="Garamond"/>
                <w:b/>
                <w:bCs/>
                <w:color w:val="000000"/>
              </w:rPr>
              <w:t xml:space="preserve">Connaissance et expertise </w:t>
            </w:r>
          </w:p>
        </w:tc>
        <w:tc>
          <w:tcPr>
            <w:tcW w:w="6564" w:type="dxa"/>
          </w:tcPr>
          <w:p w:rsidR="00400487" w:rsidRPr="00400487" w:rsidRDefault="00400487" w:rsidP="00400487">
            <w:pPr>
              <w:autoSpaceDE w:val="0"/>
              <w:autoSpaceDN w:val="0"/>
              <w:adjustRightInd w:val="0"/>
              <w:spacing w:after="0" w:line="240" w:lineRule="auto"/>
              <w:rPr>
                <w:rFonts w:cs="Garamond"/>
                <w:color w:val="000000"/>
              </w:rPr>
            </w:pPr>
            <w:r w:rsidRPr="00400487">
              <w:rPr>
                <w:rFonts w:cs="Times New Roman"/>
                <w:color w:val="000000"/>
              </w:rPr>
              <w:t xml:space="preserve">− </w:t>
            </w:r>
            <w:r w:rsidRPr="00400487">
              <w:rPr>
                <w:rFonts w:cs="Garamond"/>
                <w:color w:val="000000"/>
              </w:rPr>
              <w:t xml:space="preserve">Expérience du PNUD dans le domaine </w:t>
            </w:r>
            <w:r>
              <w:rPr>
                <w:rFonts w:cs="Garamond"/>
                <w:color w:val="000000"/>
              </w:rPr>
              <w:t>de l’intégration des questions environnementales mondiales dans la gestion locale,</w:t>
            </w:r>
            <w:r w:rsidRPr="00400487">
              <w:rPr>
                <w:rFonts w:cs="Garamond"/>
                <w:color w:val="000000"/>
              </w:rPr>
              <w:t xml:space="preserve"> lui permettant de disposer d’une connaissance technique et opérationnelle dans le domaine </w:t>
            </w:r>
          </w:p>
          <w:p w:rsidR="00400487" w:rsidRPr="00400487" w:rsidRDefault="00400487" w:rsidP="00400487">
            <w:pPr>
              <w:autoSpaceDE w:val="0"/>
              <w:autoSpaceDN w:val="0"/>
              <w:adjustRightInd w:val="0"/>
              <w:spacing w:after="0" w:line="240" w:lineRule="auto"/>
              <w:rPr>
                <w:rFonts w:cs="Garamond"/>
                <w:color w:val="000000"/>
              </w:rPr>
            </w:pPr>
            <w:r w:rsidRPr="00400487">
              <w:rPr>
                <w:rFonts w:cs="Times New Roman"/>
                <w:color w:val="000000"/>
              </w:rPr>
              <w:t xml:space="preserve">− </w:t>
            </w:r>
            <w:r w:rsidRPr="00400487">
              <w:rPr>
                <w:rFonts w:cs="Garamond"/>
                <w:color w:val="000000"/>
              </w:rPr>
              <w:t xml:space="preserve">Expertise dans le renforcement des capacités, aux niveaux institutionnel et opérationnel, dans les pays partenaires </w:t>
            </w:r>
          </w:p>
          <w:p w:rsidR="00400487" w:rsidRPr="00400487" w:rsidRDefault="00400487" w:rsidP="00400487">
            <w:pPr>
              <w:autoSpaceDE w:val="0"/>
              <w:autoSpaceDN w:val="0"/>
              <w:adjustRightInd w:val="0"/>
              <w:spacing w:after="0" w:line="240" w:lineRule="auto"/>
              <w:rPr>
                <w:rFonts w:cs="Garamond"/>
                <w:color w:val="000000"/>
              </w:rPr>
            </w:pPr>
            <w:r w:rsidRPr="00400487">
              <w:rPr>
                <w:rFonts w:cs="Times New Roman"/>
                <w:color w:val="000000"/>
              </w:rPr>
              <w:t xml:space="preserve">− </w:t>
            </w:r>
            <w:r w:rsidRPr="00400487">
              <w:rPr>
                <w:rFonts w:cs="Garamond"/>
                <w:color w:val="000000"/>
              </w:rPr>
              <w:t xml:space="preserve">Adoption d’un processus participatif permettant l’implication des parties prenantes locales </w:t>
            </w:r>
            <w:r>
              <w:rPr>
                <w:rFonts w:cs="Garamond"/>
                <w:color w:val="000000"/>
              </w:rPr>
              <w:t>dès la conception du projet CB2</w:t>
            </w:r>
          </w:p>
        </w:tc>
      </w:tr>
      <w:tr w:rsidR="00400487" w:rsidRPr="00400487" w:rsidTr="00400487">
        <w:trPr>
          <w:trHeight w:val="247"/>
        </w:trPr>
        <w:tc>
          <w:tcPr>
            <w:tcW w:w="2660" w:type="dxa"/>
          </w:tcPr>
          <w:p w:rsidR="00400487" w:rsidRPr="00400487" w:rsidRDefault="00400487" w:rsidP="00400487">
            <w:pPr>
              <w:autoSpaceDE w:val="0"/>
              <w:autoSpaceDN w:val="0"/>
              <w:adjustRightInd w:val="0"/>
              <w:spacing w:after="0" w:line="240" w:lineRule="auto"/>
              <w:rPr>
                <w:rFonts w:cs="Garamond"/>
                <w:color w:val="000000"/>
              </w:rPr>
            </w:pPr>
            <w:r w:rsidRPr="00400487">
              <w:rPr>
                <w:rFonts w:cs="Garamond"/>
                <w:b/>
                <w:bCs/>
                <w:color w:val="000000"/>
              </w:rPr>
              <w:t xml:space="preserve">Ressources financières </w:t>
            </w:r>
          </w:p>
        </w:tc>
        <w:tc>
          <w:tcPr>
            <w:tcW w:w="6564" w:type="dxa"/>
          </w:tcPr>
          <w:p w:rsidR="00400487" w:rsidRPr="00400487" w:rsidRDefault="00400487" w:rsidP="00400487">
            <w:pPr>
              <w:autoSpaceDE w:val="0"/>
              <w:autoSpaceDN w:val="0"/>
              <w:adjustRightInd w:val="0"/>
              <w:spacing w:after="0" w:line="240" w:lineRule="auto"/>
              <w:rPr>
                <w:rFonts w:cs="Times New Roman"/>
                <w:color w:val="000000"/>
              </w:rPr>
            </w:pPr>
            <w:r w:rsidRPr="00400487">
              <w:rPr>
                <w:rFonts w:cs="Times New Roman"/>
                <w:color w:val="000000"/>
              </w:rPr>
              <w:t xml:space="preserve">− Garantie de la disponibilité des fonds pour la mise en œuvre du projet </w:t>
            </w:r>
          </w:p>
          <w:p w:rsidR="00400487" w:rsidRPr="00400487" w:rsidRDefault="00400487" w:rsidP="00400487">
            <w:pPr>
              <w:autoSpaceDE w:val="0"/>
              <w:autoSpaceDN w:val="0"/>
              <w:adjustRightInd w:val="0"/>
              <w:spacing w:after="0" w:line="240" w:lineRule="auto"/>
              <w:rPr>
                <w:rFonts w:cs="Garamond"/>
                <w:color w:val="000000"/>
              </w:rPr>
            </w:pPr>
            <w:r w:rsidRPr="00400487">
              <w:rPr>
                <w:rFonts w:cs="Times New Roman"/>
                <w:color w:val="000000"/>
              </w:rPr>
              <w:t xml:space="preserve">− </w:t>
            </w:r>
            <w:r w:rsidRPr="00400487">
              <w:rPr>
                <w:rFonts w:cs="Garamond"/>
                <w:color w:val="000000"/>
              </w:rPr>
              <w:t xml:space="preserve">Transparence dans l’usage des fonds et leur traçabilité </w:t>
            </w:r>
          </w:p>
        </w:tc>
      </w:tr>
      <w:tr w:rsidR="00400487" w:rsidRPr="00400487" w:rsidTr="00400487">
        <w:trPr>
          <w:trHeight w:val="480"/>
        </w:trPr>
        <w:tc>
          <w:tcPr>
            <w:tcW w:w="2660" w:type="dxa"/>
          </w:tcPr>
          <w:p w:rsidR="00400487" w:rsidRPr="00400487" w:rsidRDefault="00400487" w:rsidP="00400487">
            <w:pPr>
              <w:autoSpaceDE w:val="0"/>
              <w:autoSpaceDN w:val="0"/>
              <w:adjustRightInd w:val="0"/>
              <w:spacing w:after="0" w:line="240" w:lineRule="auto"/>
              <w:rPr>
                <w:rFonts w:cs="Garamond"/>
                <w:color w:val="000000"/>
              </w:rPr>
            </w:pPr>
            <w:r w:rsidRPr="00400487">
              <w:rPr>
                <w:rFonts w:cs="Garamond"/>
                <w:b/>
                <w:bCs/>
                <w:color w:val="000000"/>
              </w:rPr>
              <w:t xml:space="preserve">Ressources humaines </w:t>
            </w:r>
          </w:p>
        </w:tc>
        <w:tc>
          <w:tcPr>
            <w:tcW w:w="6564" w:type="dxa"/>
          </w:tcPr>
          <w:p w:rsidR="00400487" w:rsidRPr="00400487" w:rsidRDefault="00400487" w:rsidP="00400487">
            <w:pPr>
              <w:autoSpaceDE w:val="0"/>
              <w:autoSpaceDN w:val="0"/>
              <w:adjustRightInd w:val="0"/>
              <w:spacing w:after="0" w:line="240" w:lineRule="auto"/>
              <w:rPr>
                <w:rFonts w:cs="Garamond"/>
                <w:color w:val="000000"/>
              </w:rPr>
            </w:pPr>
            <w:r w:rsidRPr="00400487">
              <w:rPr>
                <w:rFonts w:cs="Times New Roman"/>
                <w:color w:val="000000"/>
              </w:rPr>
              <w:t xml:space="preserve">− </w:t>
            </w:r>
            <w:r w:rsidRPr="00400487">
              <w:rPr>
                <w:rFonts w:cs="Garamond"/>
                <w:color w:val="000000"/>
              </w:rPr>
              <w:t xml:space="preserve">Implication et réactivité du Bureau du PNUD au Maroc et traçabilité de l’information </w:t>
            </w:r>
          </w:p>
          <w:p w:rsidR="00400487" w:rsidRPr="00400487" w:rsidRDefault="00400487" w:rsidP="00400487">
            <w:pPr>
              <w:autoSpaceDE w:val="0"/>
              <w:autoSpaceDN w:val="0"/>
              <w:adjustRightInd w:val="0"/>
              <w:spacing w:after="0" w:line="240" w:lineRule="auto"/>
              <w:rPr>
                <w:rFonts w:cs="Garamond"/>
                <w:color w:val="000000"/>
              </w:rPr>
            </w:pPr>
            <w:r w:rsidRPr="00400487">
              <w:rPr>
                <w:rFonts w:cs="Times New Roman"/>
                <w:color w:val="000000"/>
              </w:rPr>
              <w:t xml:space="preserve">− </w:t>
            </w:r>
            <w:r w:rsidRPr="00400487">
              <w:rPr>
                <w:rFonts w:cs="Garamond"/>
                <w:color w:val="000000"/>
              </w:rPr>
              <w:t xml:space="preserve">Rôle de coordination au niveau national assuré de manière efficace et satisfaisante pour les parties prenantes </w:t>
            </w:r>
          </w:p>
          <w:p w:rsidR="00400487" w:rsidRPr="00400487" w:rsidRDefault="00400487" w:rsidP="00400487">
            <w:pPr>
              <w:autoSpaceDE w:val="0"/>
              <w:autoSpaceDN w:val="0"/>
              <w:adjustRightInd w:val="0"/>
              <w:spacing w:after="0" w:line="240" w:lineRule="auto"/>
              <w:rPr>
                <w:rFonts w:cs="Garamond"/>
                <w:color w:val="000000"/>
              </w:rPr>
            </w:pPr>
            <w:r w:rsidRPr="00400487">
              <w:rPr>
                <w:rFonts w:cs="Times New Roman"/>
                <w:color w:val="000000"/>
              </w:rPr>
              <w:t xml:space="preserve">− </w:t>
            </w:r>
            <w:r w:rsidRPr="00400487">
              <w:rPr>
                <w:rFonts w:cs="Garamond"/>
                <w:color w:val="000000"/>
              </w:rPr>
              <w:t xml:space="preserve">Cohésion au sein de l’équipe de gestion du projet </w:t>
            </w:r>
          </w:p>
        </w:tc>
      </w:tr>
    </w:tbl>
    <w:p w:rsidR="00400487" w:rsidRDefault="00400487" w:rsidP="00AD1A5C">
      <w:pPr>
        <w:autoSpaceDE w:val="0"/>
        <w:autoSpaceDN w:val="0"/>
        <w:adjustRightInd w:val="0"/>
        <w:spacing w:after="0" w:line="240" w:lineRule="auto"/>
        <w:rPr>
          <w:rFonts w:cs="ACaslonPro-Regular"/>
        </w:rPr>
      </w:pPr>
    </w:p>
    <w:p w:rsidR="00AD1A5C" w:rsidRPr="00C810C0" w:rsidRDefault="00C810C0" w:rsidP="00C810C0">
      <w:pPr>
        <w:pStyle w:val="Titre3"/>
        <w:spacing w:before="0"/>
        <w:rPr>
          <w:rFonts w:asciiTheme="minorHAnsi" w:hAnsiTheme="minorHAnsi" w:cs="ACaslonPro-Regular"/>
          <w:color w:val="auto"/>
        </w:rPr>
      </w:pPr>
      <w:bookmarkStart w:id="44" w:name="_Toc425414579"/>
      <w:r w:rsidRPr="00C810C0">
        <w:rPr>
          <w:rFonts w:asciiTheme="minorHAnsi" w:hAnsiTheme="minorHAnsi" w:cs="Calibri"/>
          <w:color w:val="auto"/>
        </w:rPr>
        <w:t xml:space="preserve">III.1.7 </w:t>
      </w:r>
      <w:r w:rsidR="00AD1A5C" w:rsidRPr="00C810C0">
        <w:rPr>
          <w:rFonts w:asciiTheme="minorHAnsi" w:hAnsiTheme="minorHAnsi" w:cs="ACaslonPro-Regular"/>
          <w:color w:val="auto"/>
        </w:rPr>
        <w:t>Les liens entre le projet et d’autres interventions au sein du secteur</w:t>
      </w:r>
      <w:bookmarkEnd w:id="44"/>
    </w:p>
    <w:p w:rsidR="00C810C0" w:rsidRDefault="00400487" w:rsidP="00400487">
      <w:pPr>
        <w:autoSpaceDE w:val="0"/>
        <w:autoSpaceDN w:val="0"/>
        <w:adjustRightInd w:val="0"/>
        <w:spacing w:after="0" w:line="240" w:lineRule="auto"/>
        <w:jc w:val="both"/>
        <w:rPr>
          <w:rFonts w:cs="ACaslonPro-Regular"/>
        </w:rPr>
      </w:pPr>
      <w:r w:rsidRPr="00400487">
        <w:rPr>
          <w:rFonts w:cs="ACaslonPro-Regular"/>
        </w:rPr>
        <w:t xml:space="preserve">Depuis le lancement du projet </w:t>
      </w:r>
      <w:r>
        <w:rPr>
          <w:rFonts w:cs="ACaslonPro-Regular"/>
        </w:rPr>
        <w:t>CB2</w:t>
      </w:r>
      <w:r w:rsidRPr="00400487">
        <w:rPr>
          <w:rFonts w:cs="ACaslonPro-Regular"/>
        </w:rPr>
        <w:t xml:space="preserve">, plusieurs actions et initiatives ont été introduites dans des domaines qui touchent la problématique </w:t>
      </w:r>
      <w:r>
        <w:rPr>
          <w:rFonts w:cs="ACaslonPro-Regular"/>
        </w:rPr>
        <w:t>de la gestion de l’environnement</w:t>
      </w:r>
      <w:r w:rsidRPr="00400487">
        <w:rPr>
          <w:rFonts w:cs="ACaslonPro-Regular"/>
        </w:rPr>
        <w:t xml:space="preserve">. La section suivante présente quelques interventions qui méritent d’être mentionnées en raison de leur synergie et de leur effet </w:t>
      </w:r>
      <w:r>
        <w:rPr>
          <w:rFonts w:cs="ACaslonPro-Regular"/>
        </w:rPr>
        <w:t xml:space="preserve">de </w:t>
      </w:r>
      <w:r w:rsidRPr="00400487">
        <w:rPr>
          <w:rFonts w:cs="ACaslonPro-Regular"/>
        </w:rPr>
        <w:t xml:space="preserve">levier </w:t>
      </w:r>
      <w:r>
        <w:rPr>
          <w:rFonts w:cs="ACaslonPro-Regular"/>
        </w:rPr>
        <w:t xml:space="preserve">sur </w:t>
      </w:r>
      <w:r w:rsidRPr="00400487">
        <w:rPr>
          <w:rFonts w:cs="ACaslonPro-Regular"/>
        </w:rPr>
        <w:t>le projet.</w:t>
      </w:r>
    </w:p>
    <w:p w:rsidR="00400487" w:rsidRDefault="00400487" w:rsidP="00400487">
      <w:pPr>
        <w:autoSpaceDE w:val="0"/>
        <w:autoSpaceDN w:val="0"/>
        <w:adjustRightInd w:val="0"/>
        <w:spacing w:after="0" w:line="240" w:lineRule="auto"/>
        <w:jc w:val="both"/>
        <w:rPr>
          <w:rFonts w:cs="ACaslonPro-Regular"/>
        </w:rPr>
      </w:pPr>
    </w:p>
    <w:p w:rsidR="0049576B" w:rsidRDefault="0049576B" w:rsidP="00400487">
      <w:pPr>
        <w:autoSpaceDE w:val="0"/>
        <w:autoSpaceDN w:val="0"/>
        <w:adjustRightInd w:val="0"/>
        <w:spacing w:after="0" w:line="240" w:lineRule="auto"/>
        <w:jc w:val="both"/>
        <w:rPr>
          <w:rFonts w:cs="ACaslonPro-Regular"/>
        </w:rPr>
      </w:pP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27"/>
        <w:gridCol w:w="4628"/>
      </w:tblGrid>
      <w:tr w:rsidR="0049576B" w:rsidRPr="0049576B" w:rsidTr="0026128D">
        <w:trPr>
          <w:trHeight w:val="91"/>
        </w:trPr>
        <w:tc>
          <w:tcPr>
            <w:tcW w:w="4627" w:type="dxa"/>
            <w:shd w:val="clear" w:color="auto" w:fill="BFBFBF" w:themeFill="background1" w:themeFillShade="BF"/>
          </w:tcPr>
          <w:p w:rsidR="0049576B" w:rsidRPr="0049576B" w:rsidRDefault="0049576B" w:rsidP="0049576B">
            <w:pPr>
              <w:autoSpaceDE w:val="0"/>
              <w:autoSpaceDN w:val="0"/>
              <w:adjustRightInd w:val="0"/>
              <w:spacing w:after="0" w:line="240" w:lineRule="auto"/>
              <w:jc w:val="center"/>
              <w:rPr>
                <w:rFonts w:cs="Garamond"/>
                <w:b/>
                <w:color w:val="000000"/>
                <w:sz w:val="20"/>
                <w:szCs w:val="20"/>
              </w:rPr>
            </w:pPr>
            <w:r>
              <w:rPr>
                <w:rFonts w:cs="Garamond"/>
                <w:b/>
                <w:color w:val="000000"/>
                <w:sz w:val="20"/>
                <w:szCs w:val="20"/>
              </w:rPr>
              <w:t>Intervention</w:t>
            </w:r>
          </w:p>
        </w:tc>
        <w:tc>
          <w:tcPr>
            <w:tcW w:w="4628" w:type="dxa"/>
            <w:shd w:val="clear" w:color="auto" w:fill="BFBFBF" w:themeFill="background1" w:themeFillShade="BF"/>
          </w:tcPr>
          <w:p w:rsidR="0049576B" w:rsidRPr="0049576B" w:rsidRDefault="0049576B" w:rsidP="0049576B">
            <w:pPr>
              <w:autoSpaceDE w:val="0"/>
              <w:autoSpaceDN w:val="0"/>
              <w:adjustRightInd w:val="0"/>
              <w:spacing w:after="0" w:line="240" w:lineRule="auto"/>
              <w:jc w:val="center"/>
              <w:rPr>
                <w:rFonts w:cs="Garamond"/>
                <w:b/>
                <w:color w:val="000000"/>
                <w:sz w:val="20"/>
                <w:szCs w:val="20"/>
              </w:rPr>
            </w:pPr>
            <w:r>
              <w:rPr>
                <w:rFonts w:cs="Garamond"/>
                <w:b/>
                <w:iCs/>
                <w:color w:val="000000"/>
                <w:sz w:val="20"/>
                <w:szCs w:val="20"/>
              </w:rPr>
              <w:t>Lien avec le projet</w:t>
            </w:r>
          </w:p>
        </w:tc>
      </w:tr>
      <w:tr w:rsidR="0049576B" w:rsidRPr="0049576B" w:rsidTr="0026128D">
        <w:trPr>
          <w:trHeight w:val="91"/>
        </w:trPr>
        <w:tc>
          <w:tcPr>
            <w:tcW w:w="9255" w:type="dxa"/>
            <w:gridSpan w:val="2"/>
          </w:tcPr>
          <w:p w:rsidR="0049576B" w:rsidRPr="0049576B" w:rsidRDefault="0049576B" w:rsidP="0049576B">
            <w:pPr>
              <w:autoSpaceDE w:val="0"/>
              <w:autoSpaceDN w:val="0"/>
              <w:adjustRightInd w:val="0"/>
              <w:spacing w:after="0" w:line="240" w:lineRule="auto"/>
              <w:rPr>
                <w:rFonts w:cs="Garamond"/>
                <w:color w:val="000000"/>
                <w:sz w:val="20"/>
                <w:szCs w:val="20"/>
              </w:rPr>
            </w:pPr>
            <w:r w:rsidRPr="0049576B">
              <w:rPr>
                <w:rFonts w:cs="Garamond"/>
                <w:b/>
                <w:bCs/>
                <w:color w:val="000000"/>
                <w:sz w:val="20"/>
                <w:szCs w:val="20"/>
              </w:rPr>
              <w:t xml:space="preserve">Cadre légal </w:t>
            </w:r>
          </w:p>
        </w:tc>
      </w:tr>
      <w:tr w:rsidR="0026128D" w:rsidRPr="0049576B" w:rsidTr="0026128D">
        <w:trPr>
          <w:trHeight w:val="710"/>
        </w:trPr>
        <w:tc>
          <w:tcPr>
            <w:tcW w:w="4627" w:type="dxa"/>
          </w:tcPr>
          <w:p w:rsidR="0026128D" w:rsidRPr="0049576B" w:rsidRDefault="0026128D" w:rsidP="00DD38EE">
            <w:pPr>
              <w:autoSpaceDE w:val="0"/>
              <w:autoSpaceDN w:val="0"/>
              <w:adjustRightInd w:val="0"/>
              <w:spacing w:after="0" w:line="240" w:lineRule="auto"/>
              <w:rPr>
                <w:rFonts w:cs="Garamond"/>
                <w:color w:val="000000"/>
                <w:sz w:val="20"/>
                <w:szCs w:val="20"/>
              </w:rPr>
            </w:pPr>
            <w:r>
              <w:rPr>
                <w:rFonts w:cs="Garamond"/>
                <w:b/>
                <w:bCs/>
                <w:color w:val="000000"/>
                <w:sz w:val="20"/>
                <w:szCs w:val="20"/>
              </w:rPr>
              <w:t>Nouvelle constitution 2011</w:t>
            </w:r>
          </w:p>
        </w:tc>
        <w:tc>
          <w:tcPr>
            <w:tcW w:w="4628" w:type="dxa"/>
          </w:tcPr>
          <w:p w:rsidR="0026128D" w:rsidRPr="00EE536C" w:rsidRDefault="0026128D" w:rsidP="00DD38EE">
            <w:pPr>
              <w:autoSpaceDE w:val="0"/>
              <w:autoSpaceDN w:val="0"/>
              <w:adjustRightInd w:val="0"/>
              <w:spacing w:after="0" w:line="240" w:lineRule="auto"/>
              <w:rPr>
                <w:rFonts w:cs="Garamond"/>
                <w:color w:val="000000"/>
                <w:sz w:val="20"/>
                <w:szCs w:val="20"/>
              </w:rPr>
            </w:pPr>
            <w:r>
              <w:rPr>
                <w:rFonts w:cs="Garamond"/>
                <w:color w:val="000000"/>
                <w:sz w:val="20"/>
                <w:szCs w:val="20"/>
              </w:rPr>
              <w:t>Accorde</w:t>
            </w:r>
            <w:r w:rsidRPr="00EE536C">
              <w:rPr>
                <w:rFonts w:cs="Garamond"/>
                <w:color w:val="000000"/>
                <w:sz w:val="20"/>
                <w:szCs w:val="20"/>
              </w:rPr>
              <w:t xml:space="preserve"> aux conventions internationales dûment ratifiées </w:t>
            </w:r>
            <w:r>
              <w:rPr>
                <w:rFonts w:cs="Garamond"/>
                <w:color w:val="000000"/>
                <w:sz w:val="20"/>
                <w:szCs w:val="20"/>
              </w:rPr>
              <w:t>par le Maroc</w:t>
            </w:r>
            <w:r w:rsidRPr="00EE536C">
              <w:rPr>
                <w:rFonts w:cs="Garamond"/>
                <w:color w:val="000000"/>
                <w:sz w:val="20"/>
                <w:szCs w:val="20"/>
              </w:rPr>
              <w:t>, dans le cadre des dispositions dela Const</w:t>
            </w:r>
            <w:r>
              <w:rPr>
                <w:rFonts w:cs="Garamond"/>
                <w:color w:val="000000"/>
                <w:sz w:val="20"/>
                <w:szCs w:val="20"/>
              </w:rPr>
              <w:t>itution et des lois du Royaume</w:t>
            </w:r>
            <w:r w:rsidRPr="00EE536C">
              <w:rPr>
                <w:rFonts w:cs="Garamond"/>
                <w:color w:val="000000"/>
                <w:sz w:val="20"/>
                <w:szCs w:val="20"/>
              </w:rPr>
              <w:t>, et dès la</w:t>
            </w:r>
          </w:p>
          <w:p w:rsidR="0026128D" w:rsidRPr="00EE536C" w:rsidRDefault="0026128D" w:rsidP="00DD38EE">
            <w:pPr>
              <w:autoSpaceDE w:val="0"/>
              <w:autoSpaceDN w:val="0"/>
              <w:adjustRightInd w:val="0"/>
              <w:spacing w:after="0" w:line="240" w:lineRule="auto"/>
              <w:rPr>
                <w:rFonts w:cs="Garamond"/>
                <w:color w:val="000000"/>
                <w:sz w:val="20"/>
                <w:szCs w:val="20"/>
              </w:rPr>
            </w:pPr>
            <w:r w:rsidRPr="00EE536C">
              <w:rPr>
                <w:rFonts w:cs="Garamond"/>
                <w:color w:val="000000"/>
                <w:sz w:val="20"/>
                <w:szCs w:val="20"/>
              </w:rPr>
              <w:t>publication de ces conventions, la primauté sur le droit interne du pays, et harmoniser en</w:t>
            </w:r>
          </w:p>
          <w:p w:rsidR="0026128D" w:rsidRPr="0049576B" w:rsidRDefault="0026128D" w:rsidP="00DD38EE">
            <w:pPr>
              <w:autoSpaceDE w:val="0"/>
              <w:autoSpaceDN w:val="0"/>
              <w:adjustRightInd w:val="0"/>
              <w:spacing w:after="0" w:line="240" w:lineRule="auto"/>
              <w:rPr>
                <w:rFonts w:cs="Garamond"/>
                <w:color w:val="000000"/>
                <w:sz w:val="20"/>
                <w:szCs w:val="20"/>
              </w:rPr>
            </w:pPr>
            <w:r w:rsidRPr="00EE536C">
              <w:rPr>
                <w:rFonts w:cs="Garamond"/>
                <w:color w:val="000000"/>
                <w:sz w:val="20"/>
                <w:szCs w:val="20"/>
              </w:rPr>
              <w:t>conséquence les dispositions pertinentes de sa législation nationale.</w:t>
            </w:r>
          </w:p>
        </w:tc>
      </w:tr>
      <w:tr w:rsidR="0049576B" w:rsidRPr="0049576B" w:rsidTr="0026128D">
        <w:trPr>
          <w:trHeight w:val="999"/>
        </w:trPr>
        <w:tc>
          <w:tcPr>
            <w:tcW w:w="4627" w:type="dxa"/>
          </w:tcPr>
          <w:p w:rsidR="0049576B" w:rsidRPr="0049576B" w:rsidRDefault="0049576B" w:rsidP="0049576B">
            <w:pPr>
              <w:autoSpaceDE w:val="0"/>
              <w:autoSpaceDN w:val="0"/>
              <w:adjustRightInd w:val="0"/>
              <w:spacing w:after="0" w:line="240" w:lineRule="auto"/>
              <w:rPr>
                <w:rFonts w:cs="Garamond"/>
                <w:color w:val="000000"/>
                <w:sz w:val="20"/>
                <w:szCs w:val="20"/>
              </w:rPr>
            </w:pPr>
            <w:r>
              <w:rPr>
                <w:rFonts w:cs="Garamond"/>
                <w:b/>
                <w:bCs/>
                <w:color w:val="000000"/>
                <w:sz w:val="20"/>
                <w:szCs w:val="20"/>
              </w:rPr>
              <w:t>Charte Nationale sur l’Environnement et le Développement Durable</w:t>
            </w:r>
          </w:p>
        </w:tc>
        <w:tc>
          <w:tcPr>
            <w:tcW w:w="4628" w:type="dxa"/>
          </w:tcPr>
          <w:p w:rsidR="0049576B" w:rsidRPr="0049576B" w:rsidRDefault="0049576B" w:rsidP="0049576B">
            <w:pPr>
              <w:autoSpaceDE w:val="0"/>
              <w:autoSpaceDN w:val="0"/>
              <w:adjustRightInd w:val="0"/>
              <w:spacing w:after="0" w:line="240" w:lineRule="auto"/>
              <w:rPr>
                <w:rFonts w:cs="Garamond"/>
                <w:color w:val="000000"/>
                <w:sz w:val="20"/>
                <w:szCs w:val="20"/>
              </w:rPr>
            </w:pPr>
            <w:r w:rsidRPr="0049576B">
              <w:rPr>
                <w:rFonts w:cs="Times New Roman"/>
                <w:color w:val="000000"/>
                <w:sz w:val="20"/>
                <w:szCs w:val="20"/>
              </w:rPr>
              <w:t>les droits et devoirs inhérents à l’environnement et au développement durable reconnus aux personnes physiques et morales</w:t>
            </w:r>
            <w:r>
              <w:rPr>
                <w:rFonts w:cs="Times New Roman"/>
                <w:color w:val="000000"/>
                <w:sz w:val="20"/>
                <w:szCs w:val="20"/>
              </w:rPr>
              <w:t>. La Charte</w:t>
            </w:r>
            <w:r w:rsidRPr="0049576B">
              <w:rPr>
                <w:rFonts w:cs="Times New Roman"/>
                <w:color w:val="000000"/>
                <w:sz w:val="20"/>
                <w:szCs w:val="20"/>
              </w:rPr>
              <w:t xml:space="preserve"> proclame les principes qui devront être respectés par l’État, les collectivités territoriales et les établissements et entreprises publics</w:t>
            </w:r>
            <w:r>
              <w:rPr>
                <w:rFonts w:cs="Times New Roman"/>
                <w:color w:val="000000"/>
                <w:sz w:val="20"/>
                <w:szCs w:val="20"/>
              </w:rPr>
              <w:t>.</w:t>
            </w:r>
          </w:p>
        </w:tc>
      </w:tr>
      <w:tr w:rsidR="0049576B" w:rsidRPr="0049576B" w:rsidTr="0026128D">
        <w:trPr>
          <w:trHeight w:val="463"/>
        </w:trPr>
        <w:tc>
          <w:tcPr>
            <w:tcW w:w="4627" w:type="dxa"/>
          </w:tcPr>
          <w:p w:rsidR="0049576B" w:rsidRPr="0049576B" w:rsidRDefault="00C6569E" w:rsidP="0049576B">
            <w:pPr>
              <w:autoSpaceDE w:val="0"/>
              <w:autoSpaceDN w:val="0"/>
              <w:adjustRightInd w:val="0"/>
              <w:spacing w:after="0" w:line="240" w:lineRule="auto"/>
              <w:rPr>
                <w:rFonts w:cs="Garamond"/>
                <w:color w:val="000000"/>
                <w:sz w:val="20"/>
                <w:szCs w:val="20"/>
              </w:rPr>
            </w:pPr>
            <w:r>
              <w:rPr>
                <w:rFonts w:cs="Garamond"/>
                <w:b/>
                <w:bCs/>
                <w:color w:val="000000"/>
                <w:sz w:val="20"/>
                <w:szCs w:val="20"/>
              </w:rPr>
              <w:t>Régionalisation avancée</w:t>
            </w:r>
          </w:p>
        </w:tc>
        <w:tc>
          <w:tcPr>
            <w:tcW w:w="4628" w:type="dxa"/>
          </w:tcPr>
          <w:p w:rsidR="00C6569E" w:rsidRPr="00C6569E" w:rsidRDefault="00C6569E" w:rsidP="00C6569E">
            <w:pPr>
              <w:autoSpaceDE w:val="0"/>
              <w:autoSpaceDN w:val="0"/>
              <w:adjustRightInd w:val="0"/>
              <w:spacing w:after="0" w:line="240" w:lineRule="auto"/>
              <w:rPr>
                <w:rFonts w:cs="Garamond"/>
                <w:color w:val="000000"/>
                <w:sz w:val="20"/>
                <w:szCs w:val="20"/>
              </w:rPr>
            </w:pPr>
            <w:r>
              <w:rPr>
                <w:rFonts w:cs="Garamond"/>
                <w:color w:val="000000"/>
                <w:sz w:val="20"/>
                <w:szCs w:val="20"/>
              </w:rPr>
              <w:t xml:space="preserve">Adoption en janvier 2015 </w:t>
            </w:r>
            <w:r w:rsidRPr="00C6569E">
              <w:rPr>
                <w:rFonts w:cs="Garamond"/>
                <w:color w:val="000000"/>
                <w:sz w:val="20"/>
                <w:szCs w:val="20"/>
              </w:rPr>
              <w:t>du projet de loi organique 111-14 relative aux régions, le projet de loi organique 112-14 concernant les préfectures et les provinces et le projet de loi organique 113-14 sur les communes.</w:t>
            </w:r>
          </w:p>
          <w:p w:rsidR="00C6569E" w:rsidRPr="00C6569E" w:rsidRDefault="00C6569E" w:rsidP="00C6569E">
            <w:pPr>
              <w:autoSpaceDE w:val="0"/>
              <w:autoSpaceDN w:val="0"/>
              <w:adjustRightInd w:val="0"/>
              <w:spacing w:after="0" w:line="240" w:lineRule="auto"/>
              <w:rPr>
                <w:rFonts w:cs="Garamond"/>
                <w:color w:val="000000"/>
                <w:sz w:val="20"/>
                <w:szCs w:val="20"/>
              </w:rPr>
            </w:pPr>
          </w:p>
          <w:p w:rsidR="00C6569E" w:rsidRPr="00C6569E" w:rsidRDefault="00C6569E" w:rsidP="0026128D">
            <w:pPr>
              <w:autoSpaceDE w:val="0"/>
              <w:autoSpaceDN w:val="0"/>
              <w:adjustRightInd w:val="0"/>
              <w:spacing w:after="0" w:line="240" w:lineRule="auto"/>
              <w:jc w:val="both"/>
              <w:rPr>
                <w:rFonts w:cs="Garamond"/>
                <w:color w:val="000000"/>
                <w:sz w:val="20"/>
                <w:szCs w:val="20"/>
              </w:rPr>
            </w:pPr>
            <w:r w:rsidRPr="00C6569E">
              <w:rPr>
                <w:rFonts w:cs="Garamond"/>
                <w:color w:val="000000"/>
                <w:sz w:val="20"/>
                <w:szCs w:val="20"/>
              </w:rPr>
              <w:lastRenderedPageBreak/>
              <w:t>Ces projets de lois organiques se réfèrent aux dispositions de l'article 146 de la Constitution visant l'instauration</w:t>
            </w:r>
            <w:r w:rsidR="00E257F4">
              <w:rPr>
                <w:rFonts w:cs="Garamond"/>
                <w:color w:val="000000"/>
                <w:sz w:val="20"/>
                <w:szCs w:val="20"/>
              </w:rPr>
              <w:t xml:space="preserve"> d'une régionalisation avancée.</w:t>
            </w:r>
          </w:p>
          <w:p w:rsidR="00C6569E" w:rsidRDefault="00C6569E" w:rsidP="00C6569E">
            <w:pPr>
              <w:autoSpaceDE w:val="0"/>
              <w:autoSpaceDN w:val="0"/>
              <w:adjustRightInd w:val="0"/>
              <w:spacing w:after="0" w:line="240" w:lineRule="auto"/>
              <w:rPr>
                <w:rFonts w:cs="Garamond"/>
                <w:color w:val="000000"/>
                <w:sz w:val="20"/>
                <w:szCs w:val="20"/>
              </w:rPr>
            </w:pPr>
          </w:p>
          <w:p w:rsidR="0049576B" w:rsidRDefault="00C6569E" w:rsidP="00C6569E">
            <w:pPr>
              <w:autoSpaceDE w:val="0"/>
              <w:autoSpaceDN w:val="0"/>
              <w:adjustRightInd w:val="0"/>
              <w:spacing w:after="0" w:line="240" w:lineRule="auto"/>
              <w:rPr>
                <w:rFonts w:cs="Garamond"/>
                <w:color w:val="000000"/>
                <w:sz w:val="20"/>
                <w:szCs w:val="20"/>
              </w:rPr>
            </w:pPr>
            <w:r w:rsidRPr="00C6569E">
              <w:rPr>
                <w:rFonts w:cs="Garamond"/>
                <w:color w:val="000000"/>
                <w:sz w:val="20"/>
                <w:szCs w:val="20"/>
              </w:rPr>
              <w:t xml:space="preserve">L'élaboration de ces trois textes procède d'une approche participative, menée </w:t>
            </w:r>
            <w:r>
              <w:rPr>
                <w:rFonts w:cs="Garamond"/>
                <w:color w:val="000000"/>
                <w:sz w:val="20"/>
                <w:szCs w:val="20"/>
              </w:rPr>
              <w:t>entre juin 2014 et janvier 2015.</w:t>
            </w:r>
          </w:p>
          <w:p w:rsidR="00C6569E" w:rsidRPr="0049576B" w:rsidRDefault="00C6569E" w:rsidP="00C6569E">
            <w:pPr>
              <w:autoSpaceDE w:val="0"/>
              <w:autoSpaceDN w:val="0"/>
              <w:adjustRightInd w:val="0"/>
              <w:spacing w:after="0" w:line="240" w:lineRule="auto"/>
              <w:rPr>
                <w:rFonts w:cs="Garamond"/>
                <w:color w:val="000000"/>
                <w:sz w:val="20"/>
                <w:szCs w:val="20"/>
              </w:rPr>
            </w:pPr>
          </w:p>
        </w:tc>
      </w:tr>
      <w:tr w:rsidR="0049576B" w:rsidRPr="0049576B" w:rsidTr="0026128D">
        <w:trPr>
          <w:trHeight w:val="91"/>
        </w:trPr>
        <w:tc>
          <w:tcPr>
            <w:tcW w:w="9255" w:type="dxa"/>
            <w:gridSpan w:val="2"/>
          </w:tcPr>
          <w:p w:rsidR="0049576B" w:rsidRPr="0049576B" w:rsidRDefault="0049576B" w:rsidP="0049576B">
            <w:pPr>
              <w:autoSpaceDE w:val="0"/>
              <w:autoSpaceDN w:val="0"/>
              <w:adjustRightInd w:val="0"/>
              <w:spacing w:after="0" w:line="240" w:lineRule="auto"/>
              <w:rPr>
                <w:rFonts w:cs="Garamond"/>
                <w:color w:val="000000"/>
                <w:sz w:val="20"/>
                <w:szCs w:val="20"/>
              </w:rPr>
            </w:pPr>
            <w:r w:rsidRPr="0049576B">
              <w:rPr>
                <w:rFonts w:cs="Garamond"/>
                <w:b/>
                <w:bCs/>
                <w:color w:val="000000"/>
                <w:sz w:val="20"/>
                <w:szCs w:val="20"/>
              </w:rPr>
              <w:lastRenderedPageBreak/>
              <w:t xml:space="preserve">Cadre institutionnel </w:t>
            </w:r>
          </w:p>
        </w:tc>
      </w:tr>
      <w:tr w:rsidR="0049576B" w:rsidRPr="0049576B" w:rsidTr="0026128D">
        <w:trPr>
          <w:trHeight w:val="959"/>
        </w:trPr>
        <w:tc>
          <w:tcPr>
            <w:tcW w:w="4627" w:type="dxa"/>
          </w:tcPr>
          <w:p w:rsidR="0049576B" w:rsidRPr="0049576B" w:rsidRDefault="00604F5D" w:rsidP="0049576B">
            <w:pPr>
              <w:autoSpaceDE w:val="0"/>
              <w:autoSpaceDN w:val="0"/>
              <w:adjustRightInd w:val="0"/>
              <w:spacing w:after="0" w:line="240" w:lineRule="auto"/>
              <w:rPr>
                <w:rFonts w:cs="Garamond"/>
                <w:color w:val="000000"/>
                <w:sz w:val="20"/>
                <w:szCs w:val="20"/>
              </w:rPr>
            </w:pPr>
            <w:r>
              <w:rPr>
                <w:rFonts w:cs="Garamond"/>
                <w:b/>
                <w:bCs/>
                <w:color w:val="000000"/>
                <w:sz w:val="20"/>
                <w:szCs w:val="20"/>
              </w:rPr>
              <w:t>Nouvelle constitution 2011</w:t>
            </w:r>
          </w:p>
        </w:tc>
        <w:tc>
          <w:tcPr>
            <w:tcW w:w="4628" w:type="dxa"/>
          </w:tcPr>
          <w:p w:rsidR="0049576B" w:rsidRDefault="00604F5D" w:rsidP="0049576B">
            <w:pPr>
              <w:autoSpaceDE w:val="0"/>
              <w:autoSpaceDN w:val="0"/>
              <w:adjustRightInd w:val="0"/>
              <w:spacing w:after="0" w:line="240" w:lineRule="auto"/>
              <w:rPr>
                <w:rFonts w:cs="Garamond"/>
                <w:color w:val="000000"/>
                <w:sz w:val="20"/>
                <w:szCs w:val="20"/>
              </w:rPr>
            </w:pPr>
            <w:r w:rsidRPr="00604F5D">
              <w:rPr>
                <w:rFonts w:cs="Garamond"/>
                <w:color w:val="000000"/>
                <w:sz w:val="20"/>
                <w:szCs w:val="20"/>
              </w:rPr>
              <w:t>Art. 13 : Les pouvoirs publics œuvrent à la création d’instances de concertation, en vue d’associer les différents acteurs sociaux à l’élaboration, la mise en œuvre et l’évaluation des politiques publiques.</w:t>
            </w:r>
          </w:p>
          <w:p w:rsidR="008B1BE6" w:rsidRDefault="008B1BE6" w:rsidP="0049576B">
            <w:pPr>
              <w:autoSpaceDE w:val="0"/>
              <w:autoSpaceDN w:val="0"/>
              <w:adjustRightInd w:val="0"/>
              <w:spacing w:after="0" w:line="240" w:lineRule="auto"/>
              <w:rPr>
                <w:rFonts w:cs="Garamond"/>
                <w:color w:val="000000"/>
                <w:sz w:val="20"/>
                <w:szCs w:val="20"/>
              </w:rPr>
            </w:pPr>
          </w:p>
          <w:p w:rsidR="008B1BE6" w:rsidRPr="0049576B" w:rsidRDefault="008B1BE6" w:rsidP="00D5250F">
            <w:pPr>
              <w:autoSpaceDE w:val="0"/>
              <w:autoSpaceDN w:val="0"/>
              <w:adjustRightInd w:val="0"/>
              <w:spacing w:after="0" w:line="240" w:lineRule="auto"/>
              <w:rPr>
                <w:rFonts w:cs="Garamond"/>
                <w:color w:val="000000"/>
                <w:sz w:val="20"/>
                <w:szCs w:val="20"/>
              </w:rPr>
            </w:pPr>
            <w:r w:rsidRPr="008B1BE6">
              <w:rPr>
                <w:rFonts w:cs="Garamond"/>
                <w:color w:val="000000"/>
                <w:sz w:val="20"/>
                <w:szCs w:val="20"/>
              </w:rPr>
              <w:t>Article 31</w:t>
            </w:r>
            <w:r w:rsidR="00D5250F">
              <w:rPr>
                <w:rFonts w:cs="Garamond"/>
                <w:color w:val="000000"/>
                <w:sz w:val="20"/>
                <w:szCs w:val="20"/>
              </w:rPr>
              <w:t xml:space="preserve"> : </w:t>
            </w:r>
            <w:r w:rsidRPr="008B1BE6">
              <w:rPr>
                <w:rFonts w:cs="Garamond"/>
                <w:color w:val="000000"/>
                <w:sz w:val="20"/>
                <w:szCs w:val="20"/>
              </w:rPr>
              <w:t>L’État, les établissements publics et les collectivités territoriales œuvrent à la mobilisation de tous lesmoyens à disposition pour faciliter l’égal accès des citoyennes et des citoyens aux conditions leur permettant de jouir des droits …• à l’accès à l’eau et à un environnement sain, • au développement durable.</w:t>
            </w:r>
          </w:p>
        </w:tc>
      </w:tr>
    </w:tbl>
    <w:p w:rsidR="00400487" w:rsidRDefault="00400487" w:rsidP="00400487">
      <w:pPr>
        <w:autoSpaceDE w:val="0"/>
        <w:autoSpaceDN w:val="0"/>
        <w:adjustRightInd w:val="0"/>
        <w:spacing w:after="0" w:line="240" w:lineRule="auto"/>
        <w:jc w:val="both"/>
        <w:rPr>
          <w:rFonts w:cs="ACaslonPro-Regular"/>
        </w:rPr>
      </w:pPr>
    </w:p>
    <w:p w:rsidR="00400487" w:rsidRPr="00B0461A" w:rsidRDefault="00400487" w:rsidP="00400487">
      <w:pPr>
        <w:autoSpaceDE w:val="0"/>
        <w:autoSpaceDN w:val="0"/>
        <w:adjustRightInd w:val="0"/>
        <w:spacing w:after="0" w:line="240" w:lineRule="auto"/>
        <w:jc w:val="both"/>
        <w:rPr>
          <w:rFonts w:cs="ACaslonPro-Regular"/>
        </w:rPr>
      </w:pPr>
    </w:p>
    <w:p w:rsidR="00B0461A" w:rsidRDefault="00C810C0" w:rsidP="00C810C0">
      <w:pPr>
        <w:pStyle w:val="Titre3"/>
        <w:spacing w:before="0"/>
        <w:rPr>
          <w:rFonts w:asciiTheme="minorHAnsi" w:hAnsiTheme="minorHAnsi" w:cs="MyriadPro-Bold"/>
          <w:b w:val="0"/>
          <w:bCs w:val="0"/>
          <w:color w:val="auto"/>
        </w:rPr>
      </w:pPr>
      <w:bookmarkStart w:id="45" w:name="_Toc425414580"/>
      <w:r w:rsidRPr="00C810C0">
        <w:rPr>
          <w:rFonts w:asciiTheme="minorHAnsi" w:hAnsiTheme="minorHAnsi" w:cs="Calibri"/>
          <w:color w:val="auto"/>
        </w:rPr>
        <w:t>III</w:t>
      </w:r>
      <w:r w:rsidR="00E5492A">
        <w:rPr>
          <w:rFonts w:asciiTheme="minorHAnsi" w:hAnsiTheme="minorHAnsi" w:cs="Calibri"/>
          <w:color w:val="auto"/>
        </w:rPr>
        <w:t>.</w:t>
      </w:r>
      <w:r w:rsidRPr="00C810C0">
        <w:rPr>
          <w:rFonts w:asciiTheme="minorHAnsi" w:hAnsiTheme="minorHAnsi" w:cs="Calibri"/>
          <w:color w:val="auto"/>
        </w:rPr>
        <w:t xml:space="preserve">1.8 </w:t>
      </w:r>
      <w:r w:rsidR="00AD1A5C" w:rsidRPr="00C810C0">
        <w:rPr>
          <w:rFonts w:asciiTheme="minorHAnsi" w:hAnsiTheme="minorHAnsi" w:cs="ACaslonPro-Regular"/>
          <w:color w:val="auto"/>
        </w:rPr>
        <w:t>Modalités de gestion</w:t>
      </w:r>
      <w:bookmarkEnd w:id="45"/>
    </w:p>
    <w:p w:rsidR="00D5582B" w:rsidRDefault="00D5582B" w:rsidP="009D5314">
      <w:pPr>
        <w:jc w:val="both"/>
      </w:pPr>
      <w:r w:rsidRPr="00D5582B">
        <w:t xml:space="preserve">Au niveau global, vis-à-vis du FEM, le PNUD agit en tant qu’agence de mise en œuvre du projet CB2. Au niveau national, ce projet a été exécuté </w:t>
      </w:r>
      <w:r w:rsidR="003D0733">
        <w:t xml:space="preserve">et </w:t>
      </w:r>
      <w:r w:rsidRPr="00D5582B">
        <w:t xml:space="preserve">mis en œuvre conformément aux modalités de mise en œuvre nationale du PNUD Maroc selon les orientations du ProDoc et du cadre logique du projet (cf. rapports annuels de revue du projet). </w:t>
      </w:r>
      <w:r w:rsidR="003D0733">
        <w:t>En outre</w:t>
      </w:r>
      <w:r w:rsidRPr="00D5582B">
        <w:t xml:space="preserve">, </w:t>
      </w:r>
      <w:r>
        <w:t xml:space="preserve">le </w:t>
      </w:r>
      <w:r w:rsidRPr="00D5582B">
        <w:t xml:space="preserve">MDCE est le partenaire de mise en œuvre nationale. </w:t>
      </w:r>
    </w:p>
    <w:p w:rsidR="00BA43BD" w:rsidRDefault="00D5582B" w:rsidP="009D5314">
      <w:pPr>
        <w:jc w:val="both"/>
      </w:pPr>
      <w:r w:rsidRPr="00D5582B">
        <w:t>En vue de gérer la mise en œuvre du projet à des degrés différents, plusi</w:t>
      </w:r>
      <w:r>
        <w:t>eurs organes ont été institués</w:t>
      </w:r>
      <w:r w:rsidRPr="00D5582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4"/>
        <w:gridCol w:w="4554"/>
      </w:tblGrid>
      <w:tr w:rsidR="00BA43BD" w:rsidRPr="00BA43BD" w:rsidTr="009D5314">
        <w:trPr>
          <w:trHeight w:val="91"/>
        </w:trPr>
        <w:tc>
          <w:tcPr>
            <w:tcW w:w="4554" w:type="dxa"/>
            <w:shd w:val="clear" w:color="auto" w:fill="BFBFBF" w:themeFill="background1" w:themeFillShade="BF"/>
          </w:tcPr>
          <w:p w:rsidR="00BA43BD" w:rsidRPr="00BA43BD" w:rsidRDefault="00BA43BD" w:rsidP="0000030D">
            <w:pPr>
              <w:autoSpaceDE w:val="0"/>
              <w:autoSpaceDN w:val="0"/>
              <w:adjustRightInd w:val="0"/>
              <w:spacing w:after="0" w:line="240" w:lineRule="auto"/>
              <w:jc w:val="center"/>
              <w:rPr>
                <w:rFonts w:cs="Garamond"/>
                <w:b/>
                <w:color w:val="000000"/>
                <w:sz w:val="20"/>
                <w:szCs w:val="20"/>
              </w:rPr>
            </w:pPr>
            <w:r w:rsidRPr="00BA43BD">
              <w:rPr>
                <w:rFonts w:cs="Garamond"/>
                <w:b/>
                <w:iCs/>
                <w:color w:val="000000"/>
                <w:sz w:val="20"/>
                <w:szCs w:val="20"/>
              </w:rPr>
              <w:t>Organe</w:t>
            </w:r>
          </w:p>
        </w:tc>
        <w:tc>
          <w:tcPr>
            <w:tcW w:w="4554" w:type="dxa"/>
            <w:shd w:val="clear" w:color="auto" w:fill="BFBFBF" w:themeFill="background1" w:themeFillShade="BF"/>
          </w:tcPr>
          <w:p w:rsidR="00BA43BD" w:rsidRPr="00BA43BD" w:rsidRDefault="00BA43BD" w:rsidP="0000030D">
            <w:pPr>
              <w:autoSpaceDE w:val="0"/>
              <w:autoSpaceDN w:val="0"/>
              <w:adjustRightInd w:val="0"/>
              <w:spacing w:after="0" w:line="240" w:lineRule="auto"/>
              <w:jc w:val="center"/>
              <w:rPr>
                <w:rFonts w:cs="Garamond"/>
                <w:b/>
                <w:color w:val="000000"/>
                <w:sz w:val="20"/>
                <w:szCs w:val="20"/>
              </w:rPr>
            </w:pPr>
            <w:r w:rsidRPr="00BA43BD">
              <w:rPr>
                <w:rFonts w:cs="Garamond"/>
                <w:b/>
                <w:iCs/>
                <w:color w:val="000000"/>
                <w:sz w:val="20"/>
                <w:szCs w:val="20"/>
              </w:rPr>
              <w:t>Responsabilités</w:t>
            </w:r>
          </w:p>
        </w:tc>
      </w:tr>
      <w:tr w:rsidR="00BA43BD" w:rsidRPr="00BA43BD" w:rsidTr="0000030D">
        <w:trPr>
          <w:trHeight w:val="501"/>
        </w:trPr>
        <w:tc>
          <w:tcPr>
            <w:tcW w:w="4554" w:type="dxa"/>
          </w:tcPr>
          <w:p w:rsidR="00BA43BD" w:rsidRPr="00BA43BD" w:rsidRDefault="00D5582B" w:rsidP="00BA43BD">
            <w:pPr>
              <w:autoSpaceDE w:val="0"/>
              <w:autoSpaceDN w:val="0"/>
              <w:adjustRightInd w:val="0"/>
              <w:spacing w:after="0" w:line="240" w:lineRule="auto"/>
              <w:rPr>
                <w:rFonts w:cs="Garamond"/>
                <w:color w:val="000000"/>
                <w:sz w:val="20"/>
                <w:szCs w:val="20"/>
              </w:rPr>
            </w:pPr>
            <w:r w:rsidRPr="00D5582B">
              <w:rPr>
                <w:rFonts w:cs="Garamond"/>
                <w:b/>
                <w:bCs/>
                <w:color w:val="000000"/>
                <w:sz w:val="20"/>
                <w:szCs w:val="20"/>
              </w:rPr>
              <w:t>Agence de mise en œuvre Nationale</w:t>
            </w:r>
          </w:p>
        </w:tc>
        <w:tc>
          <w:tcPr>
            <w:tcW w:w="4554" w:type="dxa"/>
          </w:tcPr>
          <w:p w:rsidR="003D0733" w:rsidRDefault="003D0733" w:rsidP="00BA43BD">
            <w:pPr>
              <w:autoSpaceDE w:val="0"/>
              <w:autoSpaceDN w:val="0"/>
              <w:adjustRightInd w:val="0"/>
              <w:spacing w:after="0" w:line="240" w:lineRule="auto"/>
              <w:rPr>
                <w:rFonts w:cs="Times New Roman"/>
                <w:color w:val="000000"/>
                <w:sz w:val="20"/>
                <w:szCs w:val="20"/>
              </w:rPr>
            </w:pPr>
            <w:r w:rsidRPr="003D0733">
              <w:rPr>
                <w:rFonts w:cs="Times New Roman"/>
                <w:b/>
                <w:color w:val="000000"/>
                <w:sz w:val="20"/>
                <w:szCs w:val="20"/>
              </w:rPr>
              <w:t>Directeur National du Projet et Directrice adjointe du Projet</w:t>
            </w:r>
            <w:r>
              <w:rPr>
                <w:rFonts w:cs="Times New Roman"/>
                <w:color w:val="000000"/>
                <w:sz w:val="20"/>
                <w:szCs w:val="20"/>
              </w:rPr>
              <w:t> :</w:t>
            </w:r>
          </w:p>
          <w:p w:rsidR="00BA43BD" w:rsidRPr="00BA43BD" w:rsidRDefault="00BA43BD" w:rsidP="00BA43BD">
            <w:pPr>
              <w:autoSpaceDE w:val="0"/>
              <w:autoSpaceDN w:val="0"/>
              <w:adjustRightInd w:val="0"/>
              <w:spacing w:after="0" w:line="240" w:lineRule="auto"/>
              <w:rPr>
                <w:rFonts w:cs="Garamond"/>
                <w:color w:val="000000"/>
                <w:sz w:val="20"/>
                <w:szCs w:val="20"/>
              </w:rPr>
            </w:pPr>
            <w:r w:rsidRPr="00BA43BD">
              <w:rPr>
                <w:rFonts w:cs="Times New Roman"/>
                <w:color w:val="000000"/>
                <w:sz w:val="20"/>
                <w:szCs w:val="20"/>
              </w:rPr>
              <w:t xml:space="preserve">− </w:t>
            </w:r>
            <w:r w:rsidRPr="00BA43BD">
              <w:rPr>
                <w:rFonts w:cs="Garamond"/>
                <w:color w:val="000000"/>
                <w:sz w:val="20"/>
                <w:szCs w:val="20"/>
              </w:rPr>
              <w:t xml:space="preserve">Exécuter et mettre en </w:t>
            </w:r>
            <w:r w:rsidR="0000030D" w:rsidRPr="00BA43BD">
              <w:rPr>
                <w:rFonts w:cs="Garamond"/>
                <w:color w:val="000000"/>
                <w:sz w:val="20"/>
                <w:szCs w:val="20"/>
              </w:rPr>
              <w:t>œuvre</w:t>
            </w:r>
            <w:r w:rsidRPr="00BA43BD">
              <w:rPr>
                <w:rFonts w:cs="Garamond"/>
                <w:color w:val="000000"/>
                <w:sz w:val="20"/>
                <w:szCs w:val="20"/>
              </w:rPr>
              <w:t xml:space="preserve"> le projet par le </w:t>
            </w:r>
            <w:r w:rsidR="0000030D">
              <w:rPr>
                <w:rFonts w:cs="Garamond"/>
                <w:color w:val="000000"/>
                <w:sz w:val="20"/>
                <w:szCs w:val="20"/>
              </w:rPr>
              <w:t>MDCE</w:t>
            </w:r>
          </w:p>
          <w:p w:rsidR="00BA43BD" w:rsidRPr="00BA43BD" w:rsidRDefault="00BA43BD" w:rsidP="00BA43BD">
            <w:pPr>
              <w:autoSpaceDE w:val="0"/>
              <w:autoSpaceDN w:val="0"/>
              <w:adjustRightInd w:val="0"/>
              <w:spacing w:after="0" w:line="240" w:lineRule="auto"/>
              <w:rPr>
                <w:rFonts w:cs="Garamond"/>
                <w:color w:val="000000"/>
                <w:sz w:val="20"/>
                <w:szCs w:val="20"/>
              </w:rPr>
            </w:pPr>
            <w:r w:rsidRPr="00BA43BD">
              <w:rPr>
                <w:rFonts w:cs="Times New Roman"/>
                <w:color w:val="000000"/>
                <w:sz w:val="20"/>
                <w:szCs w:val="20"/>
              </w:rPr>
              <w:t xml:space="preserve">− </w:t>
            </w:r>
            <w:r w:rsidRPr="00BA43BD">
              <w:rPr>
                <w:rFonts w:cs="Garamond"/>
                <w:color w:val="000000"/>
                <w:sz w:val="20"/>
                <w:szCs w:val="20"/>
              </w:rPr>
              <w:t xml:space="preserve">Mettre en </w:t>
            </w:r>
            <w:r w:rsidR="0000030D" w:rsidRPr="00BA43BD">
              <w:rPr>
                <w:rFonts w:cs="Garamond"/>
                <w:color w:val="000000"/>
                <w:sz w:val="20"/>
                <w:szCs w:val="20"/>
              </w:rPr>
              <w:t>œuvre</w:t>
            </w:r>
            <w:r w:rsidRPr="00BA43BD">
              <w:rPr>
                <w:rFonts w:cs="Garamond"/>
                <w:color w:val="000000"/>
                <w:sz w:val="20"/>
                <w:szCs w:val="20"/>
              </w:rPr>
              <w:t xml:space="preserve"> le projet sous la tutelle de la </w:t>
            </w:r>
            <w:r w:rsidR="0000030D">
              <w:rPr>
                <w:rFonts w:cs="Garamond"/>
                <w:color w:val="000000"/>
                <w:sz w:val="20"/>
                <w:szCs w:val="20"/>
              </w:rPr>
              <w:t>DPCC</w:t>
            </w:r>
          </w:p>
          <w:p w:rsidR="00BA43BD" w:rsidRPr="00BA43BD" w:rsidRDefault="00BA43BD" w:rsidP="0000030D">
            <w:pPr>
              <w:autoSpaceDE w:val="0"/>
              <w:autoSpaceDN w:val="0"/>
              <w:adjustRightInd w:val="0"/>
              <w:spacing w:after="0" w:line="240" w:lineRule="auto"/>
              <w:rPr>
                <w:rFonts w:cs="Garamond"/>
                <w:color w:val="000000"/>
                <w:sz w:val="20"/>
                <w:szCs w:val="20"/>
              </w:rPr>
            </w:pPr>
            <w:r w:rsidRPr="00BA43BD">
              <w:rPr>
                <w:rFonts w:cs="Times New Roman"/>
                <w:color w:val="000000"/>
                <w:sz w:val="20"/>
                <w:szCs w:val="20"/>
              </w:rPr>
              <w:t xml:space="preserve">− </w:t>
            </w:r>
            <w:r w:rsidRPr="00BA43BD">
              <w:rPr>
                <w:rFonts w:cs="Garamond"/>
                <w:color w:val="000000"/>
                <w:sz w:val="20"/>
                <w:szCs w:val="20"/>
              </w:rPr>
              <w:t>Co</w:t>
            </w:r>
            <w:r w:rsidR="0000030D">
              <w:rPr>
                <w:rFonts w:cs="Garamond"/>
                <w:color w:val="000000"/>
                <w:sz w:val="20"/>
                <w:szCs w:val="20"/>
              </w:rPr>
              <w:t xml:space="preserve">ordination étroite avec la DGCL et l’INDH </w:t>
            </w:r>
          </w:p>
        </w:tc>
      </w:tr>
      <w:tr w:rsidR="0000030D" w:rsidRPr="00BA43BD" w:rsidTr="0000030D">
        <w:trPr>
          <w:trHeight w:val="1029"/>
        </w:trPr>
        <w:tc>
          <w:tcPr>
            <w:tcW w:w="4554" w:type="dxa"/>
          </w:tcPr>
          <w:p w:rsidR="0000030D" w:rsidRPr="00BA43BD" w:rsidRDefault="0000030D" w:rsidP="00BA43BD">
            <w:pPr>
              <w:autoSpaceDE w:val="0"/>
              <w:autoSpaceDN w:val="0"/>
              <w:adjustRightInd w:val="0"/>
              <w:spacing w:after="0" w:line="240" w:lineRule="auto"/>
              <w:rPr>
                <w:rFonts w:cs="Garamond"/>
                <w:b/>
                <w:bCs/>
                <w:color w:val="000000"/>
                <w:sz w:val="20"/>
                <w:szCs w:val="20"/>
              </w:rPr>
            </w:pPr>
            <w:r>
              <w:rPr>
                <w:rFonts w:cs="Garamond"/>
                <w:b/>
                <w:bCs/>
                <w:color w:val="000000"/>
                <w:sz w:val="20"/>
                <w:szCs w:val="20"/>
              </w:rPr>
              <w:t>Cellule d’exécution du projet</w:t>
            </w:r>
            <w:r w:rsidR="00982C27">
              <w:rPr>
                <w:rFonts w:cs="Garamond"/>
                <w:b/>
                <w:bCs/>
                <w:color w:val="000000"/>
                <w:sz w:val="20"/>
                <w:szCs w:val="20"/>
              </w:rPr>
              <w:t xml:space="preserve"> (CEP)</w:t>
            </w:r>
          </w:p>
        </w:tc>
        <w:tc>
          <w:tcPr>
            <w:tcW w:w="4554" w:type="dxa"/>
          </w:tcPr>
          <w:p w:rsidR="0000030D" w:rsidRDefault="0000030D" w:rsidP="00BA43BD">
            <w:pPr>
              <w:autoSpaceDE w:val="0"/>
              <w:autoSpaceDN w:val="0"/>
              <w:adjustRightInd w:val="0"/>
              <w:spacing w:after="0" w:line="240" w:lineRule="auto"/>
              <w:rPr>
                <w:sz w:val="20"/>
                <w:szCs w:val="20"/>
              </w:rPr>
            </w:pPr>
            <w:r w:rsidRPr="003D0733">
              <w:rPr>
                <w:b/>
                <w:sz w:val="20"/>
                <w:szCs w:val="20"/>
              </w:rPr>
              <w:t>Composé</w:t>
            </w:r>
            <w:r w:rsidR="003D0733" w:rsidRPr="003D0733">
              <w:rPr>
                <w:b/>
                <w:sz w:val="20"/>
                <w:szCs w:val="20"/>
              </w:rPr>
              <w:t>e</w:t>
            </w:r>
            <w:r w:rsidRPr="003D0733">
              <w:rPr>
                <w:b/>
                <w:sz w:val="20"/>
                <w:szCs w:val="20"/>
              </w:rPr>
              <w:t xml:space="preserve"> des représentants du </w:t>
            </w:r>
            <w:r w:rsidR="0026128D" w:rsidRPr="003D0733">
              <w:rPr>
                <w:b/>
                <w:sz w:val="20"/>
                <w:szCs w:val="20"/>
              </w:rPr>
              <w:t xml:space="preserve">PNUD, du </w:t>
            </w:r>
            <w:r w:rsidRPr="003D0733">
              <w:rPr>
                <w:b/>
                <w:sz w:val="20"/>
                <w:szCs w:val="20"/>
              </w:rPr>
              <w:t>MDCE, de la DGCL et de l’INDH</w:t>
            </w:r>
            <w:r w:rsidRPr="0000030D">
              <w:rPr>
                <w:sz w:val="20"/>
                <w:szCs w:val="20"/>
              </w:rPr>
              <w:t xml:space="preserve">, </w:t>
            </w:r>
            <w:r w:rsidR="003D0733">
              <w:rPr>
                <w:sz w:val="20"/>
                <w:szCs w:val="20"/>
              </w:rPr>
              <w:t>est</w:t>
            </w:r>
            <w:r w:rsidRPr="0000030D">
              <w:rPr>
                <w:sz w:val="20"/>
                <w:szCs w:val="20"/>
              </w:rPr>
              <w:t xml:space="preserve"> en charge du suivi de la mise en œuvre </w:t>
            </w:r>
            <w:r w:rsidR="00E257F4" w:rsidRPr="0000030D">
              <w:rPr>
                <w:sz w:val="20"/>
                <w:szCs w:val="20"/>
              </w:rPr>
              <w:t>du projet</w:t>
            </w:r>
            <w:r w:rsidRPr="0000030D">
              <w:rPr>
                <w:sz w:val="20"/>
                <w:szCs w:val="20"/>
              </w:rPr>
              <w:t>.</w:t>
            </w:r>
          </w:p>
          <w:p w:rsidR="0000030D" w:rsidRPr="0000030D" w:rsidRDefault="0000030D" w:rsidP="0000030D">
            <w:pPr>
              <w:autoSpaceDE w:val="0"/>
              <w:autoSpaceDN w:val="0"/>
              <w:adjustRightInd w:val="0"/>
              <w:spacing w:after="0" w:line="240" w:lineRule="auto"/>
              <w:rPr>
                <w:sz w:val="20"/>
                <w:szCs w:val="20"/>
              </w:rPr>
            </w:pPr>
            <w:r w:rsidRPr="0000030D">
              <w:rPr>
                <w:sz w:val="20"/>
                <w:szCs w:val="20"/>
              </w:rPr>
              <w:t xml:space="preserve">Les principales responsabilités de la </w:t>
            </w:r>
            <w:r w:rsidR="00982C27">
              <w:rPr>
                <w:sz w:val="20"/>
                <w:szCs w:val="20"/>
              </w:rPr>
              <w:t>CEP</w:t>
            </w:r>
            <w:r w:rsidRPr="0000030D">
              <w:rPr>
                <w:sz w:val="20"/>
                <w:szCs w:val="20"/>
              </w:rPr>
              <w:t xml:space="preserve"> sont les suivantes :</w:t>
            </w:r>
          </w:p>
          <w:p w:rsidR="0000030D" w:rsidRPr="0000030D" w:rsidRDefault="0000030D" w:rsidP="0000030D">
            <w:pPr>
              <w:autoSpaceDE w:val="0"/>
              <w:autoSpaceDN w:val="0"/>
              <w:adjustRightInd w:val="0"/>
              <w:spacing w:after="0" w:line="240" w:lineRule="auto"/>
              <w:rPr>
                <w:sz w:val="20"/>
                <w:szCs w:val="20"/>
              </w:rPr>
            </w:pPr>
            <w:r>
              <w:rPr>
                <w:sz w:val="20"/>
                <w:szCs w:val="20"/>
              </w:rPr>
              <w:t>-</w:t>
            </w:r>
            <w:r w:rsidRPr="0000030D">
              <w:rPr>
                <w:sz w:val="20"/>
                <w:szCs w:val="20"/>
              </w:rPr>
              <w:t>Examen, sélection et validation du recrutement de l’unité de gestion (C</w:t>
            </w:r>
            <w:r w:rsidR="00982C27">
              <w:rPr>
                <w:sz w:val="20"/>
                <w:szCs w:val="20"/>
              </w:rPr>
              <w:t>oordonnateur National du Projet</w:t>
            </w:r>
            <w:r w:rsidRPr="0000030D">
              <w:rPr>
                <w:sz w:val="20"/>
                <w:szCs w:val="20"/>
              </w:rPr>
              <w:t xml:space="preserve">) </w:t>
            </w:r>
          </w:p>
          <w:p w:rsidR="0000030D" w:rsidRPr="0000030D" w:rsidRDefault="0000030D" w:rsidP="0000030D">
            <w:pPr>
              <w:autoSpaceDE w:val="0"/>
              <w:autoSpaceDN w:val="0"/>
              <w:adjustRightInd w:val="0"/>
              <w:spacing w:after="0" w:line="240" w:lineRule="auto"/>
              <w:rPr>
                <w:sz w:val="20"/>
                <w:szCs w:val="20"/>
              </w:rPr>
            </w:pPr>
            <w:r w:rsidRPr="0000030D">
              <w:rPr>
                <w:sz w:val="20"/>
                <w:szCs w:val="20"/>
              </w:rPr>
              <w:t>-Elaboration et validation du plan de travail annuel et rapports trimestriels</w:t>
            </w:r>
          </w:p>
          <w:p w:rsidR="0000030D" w:rsidRPr="0000030D" w:rsidRDefault="0000030D" w:rsidP="0000030D">
            <w:pPr>
              <w:autoSpaceDE w:val="0"/>
              <w:autoSpaceDN w:val="0"/>
              <w:adjustRightInd w:val="0"/>
              <w:spacing w:after="0" w:line="240" w:lineRule="auto"/>
              <w:rPr>
                <w:sz w:val="20"/>
                <w:szCs w:val="20"/>
              </w:rPr>
            </w:pPr>
            <w:r w:rsidRPr="0000030D">
              <w:rPr>
                <w:sz w:val="20"/>
                <w:szCs w:val="20"/>
              </w:rPr>
              <w:t>-Examen et validation des TDR de</w:t>
            </w:r>
            <w:r>
              <w:rPr>
                <w:sz w:val="20"/>
                <w:szCs w:val="20"/>
              </w:rPr>
              <w:t xml:space="preserve"> toutes les activités du projet</w:t>
            </w:r>
          </w:p>
          <w:p w:rsidR="0000030D" w:rsidRPr="0000030D" w:rsidRDefault="0000030D" w:rsidP="0000030D">
            <w:pPr>
              <w:autoSpaceDE w:val="0"/>
              <w:autoSpaceDN w:val="0"/>
              <w:adjustRightInd w:val="0"/>
              <w:spacing w:after="0" w:line="240" w:lineRule="auto"/>
              <w:rPr>
                <w:sz w:val="20"/>
                <w:szCs w:val="20"/>
              </w:rPr>
            </w:pPr>
            <w:r w:rsidRPr="0000030D">
              <w:rPr>
                <w:sz w:val="20"/>
                <w:szCs w:val="20"/>
              </w:rPr>
              <w:t>-</w:t>
            </w:r>
            <w:r>
              <w:rPr>
                <w:sz w:val="20"/>
                <w:szCs w:val="20"/>
              </w:rPr>
              <w:t>Examen et validation de tous</w:t>
            </w:r>
            <w:r w:rsidRPr="0000030D">
              <w:rPr>
                <w:sz w:val="20"/>
                <w:szCs w:val="20"/>
              </w:rPr>
              <w:t xml:space="preserve"> les livrables</w:t>
            </w:r>
          </w:p>
          <w:p w:rsidR="0000030D" w:rsidRPr="0000030D" w:rsidRDefault="0000030D" w:rsidP="0000030D">
            <w:pPr>
              <w:autoSpaceDE w:val="0"/>
              <w:autoSpaceDN w:val="0"/>
              <w:adjustRightInd w:val="0"/>
              <w:spacing w:after="0" w:line="240" w:lineRule="auto"/>
              <w:rPr>
                <w:sz w:val="20"/>
                <w:szCs w:val="20"/>
              </w:rPr>
            </w:pPr>
            <w:r w:rsidRPr="0000030D">
              <w:rPr>
                <w:sz w:val="20"/>
                <w:szCs w:val="20"/>
              </w:rPr>
              <w:t>-</w:t>
            </w:r>
            <w:r w:rsidR="00982C27">
              <w:rPr>
                <w:sz w:val="20"/>
                <w:szCs w:val="20"/>
              </w:rPr>
              <w:t>V</w:t>
            </w:r>
            <w:r w:rsidRPr="0000030D">
              <w:rPr>
                <w:sz w:val="20"/>
                <w:szCs w:val="20"/>
              </w:rPr>
              <w:t>isite</w:t>
            </w:r>
            <w:r w:rsidR="00982C27">
              <w:rPr>
                <w:sz w:val="20"/>
                <w:szCs w:val="20"/>
              </w:rPr>
              <w:t>s de</w:t>
            </w:r>
            <w:r w:rsidRPr="0000030D">
              <w:rPr>
                <w:sz w:val="20"/>
                <w:szCs w:val="20"/>
              </w:rPr>
              <w:t xml:space="preserve"> terrain</w:t>
            </w:r>
            <w:r>
              <w:rPr>
                <w:sz w:val="20"/>
                <w:szCs w:val="20"/>
              </w:rPr>
              <w:t xml:space="preserve"> pour le suivi des activités du </w:t>
            </w:r>
            <w:r w:rsidRPr="0000030D">
              <w:rPr>
                <w:sz w:val="20"/>
                <w:szCs w:val="20"/>
              </w:rPr>
              <w:t>projet</w:t>
            </w:r>
          </w:p>
          <w:p w:rsidR="0000030D" w:rsidRPr="0000030D" w:rsidRDefault="0000030D" w:rsidP="0000030D">
            <w:pPr>
              <w:autoSpaceDE w:val="0"/>
              <w:autoSpaceDN w:val="0"/>
              <w:adjustRightInd w:val="0"/>
              <w:spacing w:after="0" w:line="240" w:lineRule="auto"/>
              <w:rPr>
                <w:sz w:val="20"/>
                <w:szCs w:val="20"/>
              </w:rPr>
            </w:pPr>
            <w:r w:rsidRPr="0000030D">
              <w:rPr>
                <w:sz w:val="20"/>
                <w:szCs w:val="20"/>
              </w:rPr>
              <w:t>-Coordination avec les différentes directions au sein des départements concernés</w:t>
            </w:r>
          </w:p>
        </w:tc>
      </w:tr>
      <w:tr w:rsidR="00BA43BD" w:rsidRPr="00BA43BD" w:rsidTr="0000030D">
        <w:trPr>
          <w:trHeight w:val="1029"/>
        </w:trPr>
        <w:tc>
          <w:tcPr>
            <w:tcW w:w="4554" w:type="dxa"/>
          </w:tcPr>
          <w:p w:rsidR="00982C27" w:rsidRPr="00BA43BD" w:rsidRDefault="00982C27" w:rsidP="00982C27">
            <w:pPr>
              <w:autoSpaceDE w:val="0"/>
              <w:autoSpaceDN w:val="0"/>
              <w:adjustRightInd w:val="0"/>
              <w:spacing w:after="0" w:line="240" w:lineRule="auto"/>
              <w:rPr>
                <w:rFonts w:cs="Garamond"/>
                <w:color w:val="000000"/>
                <w:sz w:val="20"/>
                <w:szCs w:val="20"/>
              </w:rPr>
            </w:pPr>
            <w:r w:rsidRPr="00982C27">
              <w:rPr>
                <w:rFonts w:cs="Garamond"/>
                <w:b/>
                <w:bCs/>
                <w:color w:val="000000"/>
                <w:sz w:val="20"/>
                <w:szCs w:val="20"/>
              </w:rPr>
              <w:lastRenderedPageBreak/>
              <w:t xml:space="preserve">Comité de pilotage du projet (CPP) </w:t>
            </w:r>
          </w:p>
          <w:p w:rsidR="00BA43BD" w:rsidRPr="00BA43BD" w:rsidRDefault="00BA43BD" w:rsidP="00982C27">
            <w:pPr>
              <w:autoSpaceDE w:val="0"/>
              <w:autoSpaceDN w:val="0"/>
              <w:adjustRightInd w:val="0"/>
              <w:spacing w:after="0" w:line="240" w:lineRule="auto"/>
              <w:rPr>
                <w:rFonts w:cs="Garamond"/>
                <w:color w:val="000000"/>
                <w:sz w:val="20"/>
                <w:szCs w:val="20"/>
              </w:rPr>
            </w:pPr>
          </w:p>
        </w:tc>
        <w:tc>
          <w:tcPr>
            <w:tcW w:w="4554" w:type="dxa"/>
          </w:tcPr>
          <w:p w:rsidR="00982C27" w:rsidRDefault="00982C27" w:rsidP="00982C27">
            <w:pPr>
              <w:pStyle w:val="Paragraphedeliste"/>
              <w:numPr>
                <w:ilvl w:val="0"/>
                <w:numId w:val="4"/>
              </w:numPr>
              <w:autoSpaceDE w:val="0"/>
              <w:autoSpaceDN w:val="0"/>
              <w:adjustRightInd w:val="0"/>
              <w:spacing w:after="0" w:line="240" w:lineRule="auto"/>
              <w:ind w:left="408" w:hanging="284"/>
              <w:rPr>
                <w:rFonts w:cs="Garamond"/>
                <w:color w:val="000000"/>
                <w:sz w:val="20"/>
                <w:szCs w:val="20"/>
              </w:rPr>
            </w:pPr>
            <w:r w:rsidRPr="00982C27">
              <w:rPr>
                <w:rFonts w:cs="Garamond"/>
                <w:color w:val="000000"/>
                <w:sz w:val="20"/>
                <w:szCs w:val="20"/>
              </w:rPr>
              <w:t>Evalue et approuve les plans du projet soumis par le coordonnateur national du projet</w:t>
            </w:r>
          </w:p>
          <w:p w:rsidR="00982C27" w:rsidRDefault="00982C27" w:rsidP="00982C27">
            <w:pPr>
              <w:pStyle w:val="Paragraphedeliste"/>
              <w:numPr>
                <w:ilvl w:val="0"/>
                <w:numId w:val="4"/>
              </w:numPr>
              <w:autoSpaceDE w:val="0"/>
              <w:autoSpaceDN w:val="0"/>
              <w:adjustRightInd w:val="0"/>
              <w:spacing w:after="0" w:line="240" w:lineRule="auto"/>
              <w:ind w:left="408" w:hanging="284"/>
              <w:rPr>
                <w:rFonts w:cs="Garamond"/>
                <w:color w:val="000000"/>
                <w:sz w:val="20"/>
                <w:szCs w:val="20"/>
              </w:rPr>
            </w:pPr>
            <w:r w:rsidRPr="00982C27">
              <w:rPr>
                <w:rFonts w:cs="Garamond"/>
                <w:color w:val="000000"/>
                <w:sz w:val="20"/>
                <w:szCs w:val="20"/>
              </w:rPr>
              <w:t>Engage les ressources du projet requises par le plan</w:t>
            </w:r>
          </w:p>
          <w:p w:rsidR="00982C27" w:rsidRDefault="00982C27" w:rsidP="00982C27">
            <w:pPr>
              <w:pStyle w:val="Paragraphedeliste"/>
              <w:numPr>
                <w:ilvl w:val="0"/>
                <w:numId w:val="4"/>
              </w:numPr>
              <w:autoSpaceDE w:val="0"/>
              <w:autoSpaceDN w:val="0"/>
              <w:adjustRightInd w:val="0"/>
              <w:spacing w:after="0" w:line="240" w:lineRule="auto"/>
              <w:ind w:left="408" w:hanging="284"/>
              <w:rPr>
                <w:rFonts w:cs="Garamond"/>
                <w:color w:val="000000"/>
                <w:sz w:val="20"/>
                <w:szCs w:val="20"/>
              </w:rPr>
            </w:pPr>
            <w:r w:rsidRPr="00982C27">
              <w:rPr>
                <w:rFonts w:cs="Garamond"/>
                <w:color w:val="000000"/>
                <w:sz w:val="20"/>
                <w:szCs w:val="20"/>
              </w:rPr>
              <w:t>Fournit les grandes lignes et la direction du projet, dans la limite des contraintes spécifiées</w:t>
            </w:r>
          </w:p>
          <w:p w:rsidR="00982C27" w:rsidRDefault="00982C27" w:rsidP="00982C27">
            <w:pPr>
              <w:pStyle w:val="Paragraphedeliste"/>
              <w:numPr>
                <w:ilvl w:val="0"/>
                <w:numId w:val="4"/>
              </w:numPr>
              <w:autoSpaceDE w:val="0"/>
              <w:autoSpaceDN w:val="0"/>
              <w:adjustRightInd w:val="0"/>
              <w:spacing w:after="0" w:line="240" w:lineRule="auto"/>
              <w:ind w:left="408" w:hanging="284"/>
              <w:rPr>
                <w:rFonts w:cs="Garamond"/>
                <w:color w:val="000000"/>
                <w:sz w:val="20"/>
                <w:szCs w:val="20"/>
              </w:rPr>
            </w:pPr>
            <w:r w:rsidRPr="00982C27">
              <w:rPr>
                <w:rFonts w:cs="Garamond"/>
                <w:color w:val="000000"/>
                <w:sz w:val="20"/>
                <w:szCs w:val="20"/>
              </w:rPr>
              <w:t>Passe en revue chaque étape finalisée du projet et approuve les avancées de l’étape suivante</w:t>
            </w:r>
          </w:p>
          <w:p w:rsidR="00982C27" w:rsidRDefault="00982C27" w:rsidP="00982C27">
            <w:pPr>
              <w:pStyle w:val="Paragraphedeliste"/>
              <w:numPr>
                <w:ilvl w:val="0"/>
                <w:numId w:val="4"/>
              </w:numPr>
              <w:autoSpaceDE w:val="0"/>
              <w:autoSpaceDN w:val="0"/>
              <w:adjustRightInd w:val="0"/>
              <w:spacing w:after="0" w:line="240" w:lineRule="auto"/>
              <w:ind w:left="408" w:hanging="284"/>
              <w:rPr>
                <w:rFonts w:cs="Garamond"/>
                <w:color w:val="000000"/>
                <w:sz w:val="20"/>
                <w:szCs w:val="20"/>
              </w:rPr>
            </w:pPr>
            <w:r w:rsidRPr="00982C27">
              <w:rPr>
                <w:rFonts w:cs="Garamond"/>
                <w:color w:val="000000"/>
                <w:sz w:val="20"/>
                <w:szCs w:val="20"/>
              </w:rPr>
              <w:t>Assure la direction ad hoc et fournit des conseils pour les situations exceptionnelles lorsque les compétences sont dépassées</w:t>
            </w:r>
          </w:p>
          <w:p w:rsidR="00982C27" w:rsidRDefault="00982C27" w:rsidP="00982C27">
            <w:pPr>
              <w:pStyle w:val="Paragraphedeliste"/>
              <w:numPr>
                <w:ilvl w:val="0"/>
                <w:numId w:val="4"/>
              </w:numPr>
              <w:autoSpaceDE w:val="0"/>
              <w:autoSpaceDN w:val="0"/>
              <w:adjustRightInd w:val="0"/>
              <w:spacing w:after="0" w:line="240" w:lineRule="auto"/>
              <w:ind w:left="408" w:hanging="284"/>
              <w:rPr>
                <w:rFonts w:cs="Garamond"/>
                <w:color w:val="000000"/>
                <w:sz w:val="20"/>
                <w:szCs w:val="20"/>
              </w:rPr>
            </w:pPr>
            <w:r w:rsidRPr="00982C27">
              <w:rPr>
                <w:rFonts w:cs="Garamond"/>
                <w:color w:val="000000"/>
                <w:sz w:val="20"/>
                <w:szCs w:val="20"/>
              </w:rPr>
              <w:t>Estime et décide des changements relatifs au projet</w:t>
            </w:r>
          </w:p>
          <w:p w:rsidR="00982C27" w:rsidRDefault="00982C27" w:rsidP="00982C27">
            <w:pPr>
              <w:pStyle w:val="Paragraphedeliste"/>
              <w:numPr>
                <w:ilvl w:val="0"/>
                <w:numId w:val="4"/>
              </w:numPr>
              <w:autoSpaceDE w:val="0"/>
              <w:autoSpaceDN w:val="0"/>
              <w:adjustRightInd w:val="0"/>
              <w:spacing w:after="0" w:line="240" w:lineRule="auto"/>
              <w:ind w:left="408" w:hanging="284"/>
              <w:rPr>
                <w:rFonts w:cs="Garamond"/>
                <w:color w:val="000000"/>
                <w:sz w:val="20"/>
                <w:szCs w:val="20"/>
              </w:rPr>
            </w:pPr>
            <w:r w:rsidRPr="00982C27">
              <w:rPr>
                <w:rFonts w:cs="Garamond"/>
                <w:color w:val="000000"/>
                <w:sz w:val="20"/>
                <w:szCs w:val="20"/>
              </w:rPr>
              <w:t>S’assure que tous les livrables prévus à chaque étape soient livrés de manière satisfaisante</w:t>
            </w:r>
          </w:p>
          <w:p w:rsidR="00982C27" w:rsidRDefault="00982C27" w:rsidP="00982C27">
            <w:pPr>
              <w:pStyle w:val="Paragraphedeliste"/>
              <w:numPr>
                <w:ilvl w:val="0"/>
                <w:numId w:val="4"/>
              </w:numPr>
              <w:autoSpaceDE w:val="0"/>
              <w:autoSpaceDN w:val="0"/>
              <w:adjustRightInd w:val="0"/>
              <w:spacing w:after="0" w:line="240" w:lineRule="auto"/>
              <w:ind w:left="408" w:hanging="284"/>
              <w:rPr>
                <w:rFonts w:cs="Garamond"/>
                <w:color w:val="000000"/>
                <w:sz w:val="20"/>
                <w:szCs w:val="20"/>
              </w:rPr>
            </w:pPr>
            <w:r w:rsidRPr="00982C27">
              <w:rPr>
                <w:rFonts w:cs="Garamond"/>
                <w:color w:val="000000"/>
                <w:sz w:val="20"/>
                <w:szCs w:val="20"/>
              </w:rPr>
              <w:t>Passe en revue et approuve le rapport final du projet (le cas échéant)</w:t>
            </w:r>
          </w:p>
          <w:p w:rsidR="00BA43BD" w:rsidRPr="00982C27" w:rsidRDefault="00982C27" w:rsidP="00982C27">
            <w:pPr>
              <w:pStyle w:val="Paragraphedeliste"/>
              <w:numPr>
                <w:ilvl w:val="0"/>
                <w:numId w:val="4"/>
              </w:numPr>
              <w:autoSpaceDE w:val="0"/>
              <w:autoSpaceDN w:val="0"/>
              <w:adjustRightInd w:val="0"/>
              <w:spacing w:after="0" w:line="240" w:lineRule="auto"/>
              <w:ind w:left="408" w:hanging="284"/>
              <w:rPr>
                <w:rFonts w:cs="Garamond"/>
                <w:color w:val="000000"/>
                <w:sz w:val="20"/>
                <w:szCs w:val="20"/>
              </w:rPr>
            </w:pPr>
            <w:r w:rsidRPr="00982C27">
              <w:rPr>
                <w:rFonts w:cs="Garamond"/>
                <w:color w:val="000000"/>
                <w:sz w:val="20"/>
                <w:szCs w:val="20"/>
              </w:rPr>
              <w:t>Emet des recommandations pour les actions de suivi le cas échéant</w:t>
            </w:r>
          </w:p>
        </w:tc>
      </w:tr>
      <w:tr w:rsidR="00D5582B" w:rsidRPr="00BA43BD" w:rsidTr="0000030D">
        <w:trPr>
          <w:trHeight w:val="1029"/>
        </w:trPr>
        <w:tc>
          <w:tcPr>
            <w:tcW w:w="4554" w:type="dxa"/>
          </w:tcPr>
          <w:p w:rsidR="00D5582B" w:rsidRPr="00D5582B" w:rsidRDefault="00D5582B" w:rsidP="00982C27">
            <w:pPr>
              <w:autoSpaceDE w:val="0"/>
              <w:autoSpaceDN w:val="0"/>
              <w:adjustRightInd w:val="0"/>
              <w:spacing w:after="0" w:line="240" w:lineRule="auto"/>
              <w:rPr>
                <w:rFonts w:cs="Garamond"/>
                <w:b/>
                <w:bCs/>
                <w:color w:val="000000"/>
                <w:sz w:val="20"/>
                <w:szCs w:val="20"/>
              </w:rPr>
            </w:pPr>
            <w:r w:rsidRPr="00D5582B">
              <w:rPr>
                <w:rFonts w:cs="Garamond"/>
                <w:b/>
                <w:bCs/>
                <w:color w:val="000000"/>
                <w:sz w:val="20"/>
                <w:szCs w:val="20"/>
              </w:rPr>
              <w:t>Assurance Qualité (PNUD)</w:t>
            </w:r>
          </w:p>
        </w:tc>
        <w:tc>
          <w:tcPr>
            <w:tcW w:w="4554" w:type="dxa"/>
          </w:tcPr>
          <w:p w:rsidR="00D5582B" w:rsidRPr="00794F86" w:rsidRDefault="00D5582B" w:rsidP="00794F86">
            <w:pPr>
              <w:pStyle w:val="Paragraphedeliste"/>
              <w:numPr>
                <w:ilvl w:val="0"/>
                <w:numId w:val="19"/>
              </w:numPr>
              <w:autoSpaceDE w:val="0"/>
              <w:autoSpaceDN w:val="0"/>
              <w:adjustRightInd w:val="0"/>
              <w:spacing w:after="0" w:line="240" w:lineRule="auto"/>
              <w:ind w:left="436"/>
              <w:rPr>
                <w:rFonts w:cs="Garamond"/>
                <w:bCs/>
                <w:color w:val="000000"/>
                <w:sz w:val="20"/>
                <w:szCs w:val="20"/>
              </w:rPr>
            </w:pPr>
            <w:r w:rsidRPr="00794F86">
              <w:rPr>
                <w:rFonts w:cs="Garamond"/>
                <w:bCs/>
                <w:color w:val="000000"/>
                <w:sz w:val="20"/>
                <w:szCs w:val="20"/>
              </w:rPr>
              <w:t xml:space="preserve">Accompagnement de l’UGP dans la mise en œuvre, le suivi et l’évaluation des différentes activités du programme ; </w:t>
            </w:r>
          </w:p>
          <w:p w:rsidR="00D5582B" w:rsidRPr="00794F86" w:rsidRDefault="00D5582B" w:rsidP="00794F86">
            <w:pPr>
              <w:pStyle w:val="Paragraphedeliste"/>
              <w:numPr>
                <w:ilvl w:val="0"/>
                <w:numId w:val="19"/>
              </w:numPr>
              <w:autoSpaceDE w:val="0"/>
              <w:autoSpaceDN w:val="0"/>
              <w:adjustRightInd w:val="0"/>
              <w:spacing w:after="0" w:line="240" w:lineRule="auto"/>
              <w:ind w:left="436"/>
              <w:rPr>
                <w:rFonts w:cs="Garamond"/>
                <w:bCs/>
                <w:color w:val="000000"/>
                <w:sz w:val="20"/>
                <w:szCs w:val="20"/>
              </w:rPr>
            </w:pPr>
            <w:r w:rsidRPr="00794F86">
              <w:rPr>
                <w:rFonts w:cs="Garamond"/>
                <w:bCs/>
                <w:color w:val="000000"/>
                <w:sz w:val="20"/>
                <w:szCs w:val="20"/>
              </w:rPr>
              <w:t>Vérification de façon continue de l’adéquation des différents plans de travail avec les dispositions du Document de programme et proposer les év</w:t>
            </w:r>
            <w:r w:rsidR="00794F86">
              <w:rPr>
                <w:rFonts w:cs="Garamond"/>
                <w:bCs/>
                <w:color w:val="000000"/>
                <w:sz w:val="20"/>
                <w:szCs w:val="20"/>
              </w:rPr>
              <w:t>entuels ajustements nécessaires</w:t>
            </w:r>
            <w:r w:rsidRPr="00794F86">
              <w:rPr>
                <w:rFonts w:cs="Garamond"/>
                <w:bCs/>
                <w:color w:val="000000"/>
                <w:sz w:val="20"/>
                <w:szCs w:val="20"/>
              </w:rPr>
              <w:t xml:space="preserve">; </w:t>
            </w:r>
          </w:p>
          <w:p w:rsidR="00D5582B" w:rsidRPr="00794F86" w:rsidRDefault="00D5582B" w:rsidP="00794F86">
            <w:pPr>
              <w:pStyle w:val="Paragraphedeliste"/>
              <w:numPr>
                <w:ilvl w:val="0"/>
                <w:numId w:val="19"/>
              </w:numPr>
              <w:autoSpaceDE w:val="0"/>
              <w:autoSpaceDN w:val="0"/>
              <w:adjustRightInd w:val="0"/>
              <w:spacing w:after="0" w:line="240" w:lineRule="auto"/>
              <w:ind w:left="436"/>
              <w:rPr>
                <w:rFonts w:cs="Garamond"/>
                <w:bCs/>
                <w:color w:val="000000"/>
                <w:sz w:val="20"/>
                <w:szCs w:val="20"/>
              </w:rPr>
            </w:pPr>
            <w:r w:rsidRPr="00794F86">
              <w:rPr>
                <w:rFonts w:cs="Garamond"/>
                <w:bCs/>
                <w:color w:val="000000"/>
                <w:sz w:val="20"/>
                <w:szCs w:val="20"/>
              </w:rPr>
              <w:t>Analyse</w:t>
            </w:r>
            <w:r w:rsidR="00794F86" w:rsidRPr="00794F86">
              <w:rPr>
                <w:rFonts w:cs="Garamond"/>
                <w:bCs/>
                <w:color w:val="000000"/>
                <w:sz w:val="20"/>
                <w:szCs w:val="20"/>
              </w:rPr>
              <w:t>,</w:t>
            </w:r>
            <w:r w:rsidRPr="00794F86">
              <w:rPr>
                <w:rFonts w:cs="Garamond"/>
                <w:bCs/>
                <w:color w:val="000000"/>
                <w:sz w:val="20"/>
                <w:szCs w:val="20"/>
              </w:rPr>
              <w:t xml:space="preserve"> de façon continue</w:t>
            </w:r>
            <w:r w:rsidR="00794F86" w:rsidRPr="00794F86">
              <w:rPr>
                <w:rFonts w:cs="Garamond"/>
                <w:bCs/>
                <w:color w:val="000000"/>
                <w:sz w:val="20"/>
                <w:szCs w:val="20"/>
              </w:rPr>
              <w:t>,de la situation du projet</w:t>
            </w:r>
            <w:r w:rsidRPr="00794F86">
              <w:rPr>
                <w:rFonts w:cs="Garamond"/>
                <w:bCs/>
                <w:color w:val="000000"/>
                <w:sz w:val="20"/>
                <w:szCs w:val="20"/>
              </w:rPr>
              <w:t xml:space="preserve"> concernant le lien entre les aspects techniques et financi</w:t>
            </w:r>
            <w:r w:rsidR="00794F86" w:rsidRPr="00794F86">
              <w:rPr>
                <w:rFonts w:cs="Garamond"/>
                <w:bCs/>
                <w:color w:val="000000"/>
                <w:sz w:val="20"/>
                <w:szCs w:val="20"/>
              </w:rPr>
              <w:t>e</w:t>
            </w:r>
            <w:r w:rsidRPr="00794F86">
              <w:rPr>
                <w:rFonts w:cs="Garamond"/>
                <w:bCs/>
                <w:color w:val="000000"/>
                <w:sz w:val="20"/>
                <w:szCs w:val="20"/>
              </w:rPr>
              <w:t>r</w:t>
            </w:r>
            <w:r w:rsidR="00794F86" w:rsidRPr="00794F86">
              <w:rPr>
                <w:rFonts w:cs="Garamond"/>
                <w:bCs/>
                <w:color w:val="000000"/>
                <w:sz w:val="20"/>
                <w:szCs w:val="20"/>
              </w:rPr>
              <w:t>s</w:t>
            </w:r>
            <w:r w:rsidRPr="00794F86">
              <w:rPr>
                <w:rFonts w:cs="Garamond"/>
                <w:bCs/>
                <w:color w:val="000000"/>
                <w:sz w:val="20"/>
                <w:szCs w:val="20"/>
              </w:rPr>
              <w:t>, identifier et informer des éventuels problèmes et contribuer au dévelop</w:t>
            </w:r>
            <w:r w:rsidR="00794F86" w:rsidRPr="00794F86">
              <w:rPr>
                <w:rFonts w:cs="Garamond"/>
                <w:bCs/>
                <w:color w:val="000000"/>
                <w:sz w:val="20"/>
                <w:szCs w:val="20"/>
              </w:rPr>
              <w:t>pement des solutions adéquates.</w:t>
            </w:r>
          </w:p>
        </w:tc>
      </w:tr>
      <w:tr w:rsidR="00982C27" w:rsidRPr="00BA43BD" w:rsidTr="0000030D">
        <w:trPr>
          <w:trHeight w:val="1029"/>
        </w:trPr>
        <w:tc>
          <w:tcPr>
            <w:tcW w:w="4554" w:type="dxa"/>
          </w:tcPr>
          <w:p w:rsidR="00982C27" w:rsidRPr="00982C27" w:rsidRDefault="003D0733" w:rsidP="00982C27">
            <w:pPr>
              <w:autoSpaceDE w:val="0"/>
              <w:autoSpaceDN w:val="0"/>
              <w:adjustRightInd w:val="0"/>
              <w:spacing w:after="0" w:line="240" w:lineRule="auto"/>
              <w:rPr>
                <w:rFonts w:cs="Garamond"/>
                <w:b/>
                <w:bCs/>
                <w:color w:val="000000"/>
                <w:sz w:val="20"/>
                <w:szCs w:val="20"/>
              </w:rPr>
            </w:pPr>
            <w:r w:rsidRPr="003D0733">
              <w:rPr>
                <w:rFonts w:cs="Garamond"/>
                <w:b/>
                <w:bCs/>
                <w:color w:val="000000"/>
                <w:sz w:val="20"/>
                <w:szCs w:val="20"/>
              </w:rPr>
              <w:t>Coordonnateur national du projet (CNP)</w:t>
            </w:r>
          </w:p>
        </w:tc>
        <w:tc>
          <w:tcPr>
            <w:tcW w:w="4554" w:type="dxa"/>
          </w:tcPr>
          <w:p w:rsidR="00982C27" w:rsidRPr="00982C27" w:rsidRDefault="00982C27" w:rsidP="00D5582B">
            <w:pPr>
              <w:autoSpaceDE w:val="0"/>
              <w:autoSpaceDN w:val="0"/>
              <w:adjustRightInd w:val="0"/>
              <w:spacing w:after="0" w:line="240" w:lineRule="auto"/>
              <w:ind w:left="124"/>
              <w:jc w:val="both"/>
              <w:rPr>
                <w:rFonts w:cs="Garamond"/>
                <w:color w:val="000000"/>
                <w:sz w:val="20"/>
                <w:szCs w:val="20"/>
              </w:rPr>
            </w:pPr>
            <w:r w:rsidRPr="00982C27">
              <w:rPr>
                <w:rFonts w:cs="Garamond"/>
                <w:bCs/>
                <w:color w:val="000000"/>
                <w:sz w:val="20"/>
                <w:szCs w:val="20"/>
              </w:rPr>
              <w:t xml:space="preserve">Le CNP est </w:t>
            </w:r>
            <w:r w:rsidR="00E257F4">
              <w:rPr>
                <w:rFonts w:cs="Garamond"/>
                <w:bCs/>
                <w:color w:val="000000"/>
                <w:sz w:val="20"/>
                <w:szCs w:val="20"/>
              </w:rPr>
              <w:t>en charge</w:t>
            </w:r>
            <w:r w:rsidRPr="00982C27">
              <w:rPr>
                <w:rFonts w:cs="Garamond"/>
                <w:bCs/>
                <w:color w:val="000000"/>
                <w:sz w:val="20"/>
                <w:szCs w:val="20"/>
              </w:rPr>
              <w:t xml:space="preserve"> de la gestion quotidienne et de la prise de décision du projet. La première responsabilité du directeur du projet est de veiller à ce que le projet produise les livrables spécifiés dans le PID, à la norme de qualité requise, et ce, en respectant les délais et les coûts.</w:t>
            </w:r>
          </w:p>
        </w:tc>
      </w:tr>
    </w:tbl>
    <w:p w:rsidR="00E5492A" w:rsidRDefault="00E5492A" w:rsidP="00E5492A">
      <w:pPr>
        <w:autoSpaceDE w:val="0"/>
        <w:autoSpaceDN w:val="0"/>
        <w:adjustRightInd w:val="0"/>
        <w:spacing w:after="0" w:line="240" w:lineRule="auto"/>
        <w:jc w:val="both"/>
        <w:rPr>
          <w:rFonts w:cs="MyriadPro-Bold"/>
          <w:bCs/>
        </w:rPr>
      </w:pPr>
    </w:p>
    <w:p w:rsidR="00B2301E" w:rsidRDefault="00086D5C" w:rsidP="00E5492A">
      <w:pPr>
        <w:autoSpaceDE w:val="0"/>
        <w:autoSpaceDN w:val="0"/>
        <w:adjustRightInd w:val="0"/>
        <w:spacing w:after="0" w:line="240" w:lineRule="auto"/>
        <w:jc w:val="both"/>
        <w:rPr>
          <w:rFonts w:cs="MyriadPro-Bold"/>
          <w:bCs/>
        </w:rPr>
      </w:pPr>
      <w:r w:rsidRPr="00086D5C">
        <w:rPr>
          <w:rFonts w:cs="MyriadPro-Bold"/>
          <w:bCs/>
        </w:rPr>
        <w:t>L’agence de mise en œuvre retenue par le PNUD et le gouvernement du Maroc a été le SEEE (actuellement MDCE). L’exécution des activités du projet a été assurée par l’UGP au sein du MDCE. Elle est composée d’un directeur national du programme (désigné par le Gouvernement), d’un directeur adjoint, (désigné par le Gouvernement), d’une coordinatrice nationale (recruté par le projet), de trois membres de l’équipe (un cadre pour superviser les travaux au niveau de chaque région pilote) et d’une assistante administrative et financière (recruté par le projet).</w:t>
      </w:r>
    </w:p>
    <w:p w:rsidR="00C84500" w:rsidRDefault="00C84500" w:rsidP="00E5492A">
      <w:pPr>
        <w:autoSpaceDE w:val="0"/>
        <w:autoSpaceDN w:val="0"/>
        <w:adjustRightInd w:val="0"/>
        <w:spacing w:after="0" w:line="240" w:lineRule="auto"/>
        <w:jc w:val="both"/>
        <w:rPr>
          <w:rFonts w:cs="MyriadPro-Bold"/>
          <w:bCs/>
        </w:rPr>
      </w:pPr>
    </w:p>
    <w:p w:rsidR="00B2301E" w:rsidRDefault="00E5492A" w:rsidP="00E5492A">
      <w:pPr>
        <w:autoSpaceDE w:val="0"/>
        <w:autoSpaceDN w:val="0"/>
        <w:adjustRightInd w:val="0"/>
        <w:spacing w:after="0" w:line="240" w:lineRule="auto"/>
        <w:jc w:val="both"/>
        <w:rPr>
          <w:rFonts w:cs="MyriadPro-Bold"/>
          <w:bCs/>
        </w:rPr>
      </w:pPr>
      <w:r w:rsidRPr="00E5492A">
        <w:rPr>
          <w:rFonts w:cs="MyriadPro-Bold"/>
          <w:bCs/>
        </w:rPr>
        <w:t>Les activités du projet ont été prises en charge de manière efficace par cette équipe. Ceci est démontré par les plans de travail élaborés et soumis au PNUD (qui les a approuvés) et les rapports d’activités périodiqu</w:t>
      </w:r>
      <w:r>
        <w:rPr>
          <w:rFonts w:cs="MyriadPro-Bold"/>
          <w:bCs/>
        </w:rPr>
        <w:t>es préparés par l’U</w:t>
      </w:r>
      <w:r w:rsidRPr="00E5492A">
        <w:rPr>
          <w:rFonts w:cs="MyriadPro-Bold"/>
          <w:bCs/>
        </w:rPr>
        <w:t xml:space="preserve">GP. </w:t>
      </w:r>
    </w:p>
    <w:p w:rsidR="00C84500" w:rsidRDefault="00C84500" w:rsidP="00E5492A">
      <w:pPr>
        <w:autoSpaceDE w:val="0"/>
        <w:autoSpaceDN w:val="0"/>
        <w:adjustRightInd w:val="0"/>
        <w:spacing w:after="0" w:line="240" w:lineRule="auto"/>
        <w:jc w:val="both"/>
        <w:rPr>
          <w:rFonts w:cs="MyriadPro-Bold"/>
          <w:bCs/>
        </w:rPr>
      </w:pPr>
    </w:p>
    <w:p w:rsidR="00BA43BD" w:rsidRPr="0026128D" w:rsidRDefault="00E5492A" w:rsidP="00E5492A">
      <w:pPr>
        <w:autoSpaceDE w:val="0"/>
        <w:autoSpaceDN w:val="0"/>
        <w:adjustRightInd w:val="0"/>
        <w:spacing w:after="0" w:line="240" w:lineRule="auto"/>
        <w:jc w:val="both"/>
        <w:rPr>
          <w:rFonts w:cs="MyriadPro-Bold"/>
          <w:bCs/>
        </w:rPr>
      </w:pPr>
      <w:r w:rsidRPr="00E5492A">
        <w:rPr>
          <w:rFonts w:cs="MyriadPro-Bold"/>
          <w:bCs/>
        </w:rPr>
        <w:t xml:space="preserve">L’architecture de gestion du projet a ciblé la participation de diverses parties prenantes à des niveaux institutionnel ou opérationnel différents en vue de mettre à profit leurs compétences dans l’exécution et/ou le suivi des activités du projet. Cette approche a favorisé le contrôle des phases du projet, le suivi de leurs réalisations et leurs qualités ainsi que la validation de l’atteinte des objectifs ciblés. </w:t>
      </w:r>
      <w:r w:rsidRPr="00B2301E">
        <w:rPr>
          <w:rFonts w:cs="MyriadPro-Bold"/>
          <w:bCs/>
          <w:u w:val="single"/>
        </w:rPr>
        <w:t xml:space="preserve">De plus, </w:t>
      </w:r>
      <w:r w:rsidRPr="0026128D">
        <w:rPr>
          <w:rFonts w:cs="MyriadPro-Bold"/>
          <w:bCs/>
        </w:rPr>
        <w:t xml:space="preserve">l’implication </w:t>
      </w:r>
      <w:r w:rsidR="00B2301E" w:rsidRPr="0026128D">
        <w:rPr>
          <w:rFonts w:cs="MyriadPro-Bold"/>
          <w:bCs/>
        </w:rPr>
        <w:t xml:space="preserve">de la DGCL à travers ses trois directions (DFCAT, DEA et DPE) </w:t>
      </w:r>
      <w:r w:rsidRPr="0026128D">
        <w:rPr>
          <w:rFonts w:cs="MyriadPro-Bold"/>
          <w:bCs/>
        </w:rPr>
        <w:t xml:space="preserve">aux côtés </w:t>
      </w:r>
      <w:r w:rsidRPr="0026128D">
        <w:rPr>
          <w:rFonts w:cs="MyriadPro-Bold"/>
          <w:bCs/>
        </w:rPr>
        <w:lastRenderedPageBreak/>
        <w:t>du MDCE, a créé un consensus autour du projet, renforcé par le partage d’information</w:t>
      </w:r>
      <w:r w:rsidR="00EB58B1" w:rsidRPr="0026128D">
        <w:rPr>
          <w:rFonts w:cs="MyriadPro-Bold"/>
          <w:bCs/>
        </w:rPr>
        <w:t>s</w:t>
      </w:r>
      <w:r w:rsidRPr="0026128D">
        <w:rPr>
          <w:rFonts w:cs="MyriadPro-Bold"/>
          <w:bCs/>
        </w:rPr>
        <w:t xml:space="preserve"> et de compétences dans une perspective d’appropriation.</w:t>
      </w:r>
      <w:r w:rsidR="00E57AA8">
        <w:rPr>
          <w:rFonts w:cs="MyriadPro-Bold"/>
          <w:bCs/>
        </w:rPr>
        <w:t xml:space="preserve"> Cette dernière s’exprime </w:t>
      </w:r>
      <w:r w:rsidR="00EB58B1" w:rsidRPr="0026128D">
        <w:rPr>
          <w:rFonts w:cs="MyriadPro-Bold"/>
          <w:bCs/>
        </w:rPr>
        <w:t xml:space="preserve">à travers </w:t>
      </w:r>
      <w:r w:rsidR="00E57AA8">
        <w:rPr>
          <w:rFonts w:cs="MyriadPro-Bold"/>
          <w:bCs/>
        </w:rPr>
        <w:t xml:space="preserve">la manifestation d’intérêt de la part de la DFCAT pour </w:t>
      </w:r>
      <w:r w:rsidR="00EB58B1" w:rsidRPr="0026128D">
        <w:rPr>
          <w:rFonts w:cs="MyriadPro-Bold"/>
          <w:bCs/>
        </w:rPr>
        <w:t xml:space="preserve">l’adoption </w:t>
      </w:r>
      <w:r w:rsidR="00B93891">
        <w:rPr>
          <w:rFonts w:cs="MyriadPro-Bold"/>
          <w:bCs/>
        </w:rPr>
        <w:t>(après adaptation)</w:t>
      </w:r>
      <w:r w:rsidR="00EB58B1" w:rsidRPr="0026128D">
        <w:rPr>
          <w:rFonts w:cs="MyriadPro-Bold"/>
          <w:bCs/>
        </w:rPr>
        <w:t xml:space="preserve"> des outils de renforcement des capacités élaborés par le projet CB2 en vue de l’intégration de la démarche IEL dans la planification stratégique locale.</w:t>
      </w:r>
    </w:p>
    <w:p w:rsidR="00BA43BD" w:rsidRDefault="00EB58B1" w:rsidP="00EB58B1">
      <w:pPr>
        <w:autoSpaceDE w:val="0"/>
        <w:autoSpaceDN w:val="0"/>
        <w:adjustRightInd w:val="0"/>
        <w:spacing w:after="0" w:line="240" w:lineRule="auto"/>
        <w:jc w:val="both"/>
        <w:rPr>
          <w:rFonts w:cs="MyriadPro-Bold"/>
          <w:bCs/>
        </w:rPr>
      </w:pPr>
      <w:r>
        <w:rPr>
          <w:rFonts w:cs="MyriadPro-Bold"/>
          <w:bCs/>
        </w:rPr>
        <w:t xml:space="preserve">L’architecture de la gestion du projet fut complétée en cours de la mise en œuvre par la création des </w:t>
      </w:r>
      <w:r w:rsidRPr="00EB58B1">
        <w:rPr>
          <w:rFonts w:cs="MyriadPro-Bold"/>
          <w:bCs/>
        </w:rPr>
        <w:t xml:space="preserve">Groupes Régionaux sur les Enjeux Environnementaux </w:t>
      </w:r>
      <w:r w:rsidR="0026128D" w:rsidRPr="00EB58B1">
        <w:rPr>
          <w:rFonts w:cs="MyriadPro-Bold"/>
          <w:bCs/>
        </w:rPr>
        <w:t xml:space="preserve">Transversaux </w:t>
      </w:r>
      <w:r w:rsidR="0026128D">
        <w:rPr>
          <w:rFonts w:cs="MyriadPro-Bold"/>
          <w:bCs/>
        </w:rPr>
        <w:t>(</w:t>
      </w:r>
      <w:r>
        <w:rPr>
          <w:rFonts w:cs="MyriadPro-Bold"/>
          <w:bCs/>
        </w:rPr>
        <w:t xml:space="preserve">GREET) au niveau de chacune de trois régions pilotes. Les GREET sont </w:t>
      </w:r>
      <w:r w:rsidRPr="00EB58B1">
        <w:rPr>
          <w:rFonts w:cs="MyriadPro-Bold"/>
          <w:bCs/>
        </w:rPr>
        <w:t xml:space="preserve">composés par 1/3 représentants des institutions publiques, 1/3 des collectivités territoriales et 1/3 d’autres acteurs (privé, universités, centres de recherches, ONG, associations, etc.). Un groupe restreint au sein du GREET constitué </w:t>
      </w:r>
      <w:r w:rsidR="0026128D" w:rsidRPr="00EB58B1">
        <w:rPr>
          <w:rFonts w:cs="MyriadPro-Bold"/>
          <w:bCs/>
        </w:rPr>
        <w:t>par un</w:t>
      </w:r>
      <w:r w:rsidRPr="00EB58B1">
        <w:rPr>
          <w:rFonts w:cs="MyriadPro-Bold"/>
          <w:bCs/>
        </w:rPr>
        <w:t xml:space="preserve"> représentant du conseil régional (président de la commission environnement), un représentant de la Wilaya (Service environnement), le directeur de l’OREDD, et le Chef du Service régional de l’Environnement, constitue le comité de suivi local du projet CB2</w:t>
      </w:r>
      <w:r>
        <w:rPr>
          <w:rFonts w:cs="MyriadPro-Bold"/>
          <w:bCs/>
        </w:rPr>
        <w:t>.</w:t>
      </w:r>
    </w:p>
    <w:p w:rsidR="00EB58B1" w:rsidRPr="00BA43BD" w:rsidRDefault="00EB58B1" w:rsidP="00EB58B1">
      <w:pPr>
        <w:autoSpaceDE w:val="0"/>
        <w:autoSpaceDN w:val="0"/>
        <w:adjustRightInd w:val="0"/>
        <w:spacing w:after="0" w:line="240" w:lineRule="auto"/>
        <w:jc w:val="both"/>
        <w:rPr>
          <w:rFonts w:cs="MyriadPro-Bold"/>
          <w:bCs/>
        </w:rPr>
      </w:pPr>
    </w:p>
    <w:p w:rsidR="00AD1A5C" w:rsidRPr="00E5492A" w:rsidRDefault="00E5492A" w:rsidP="00E5492A">
      <w:pPr>
        <w:pStyle w:val="Titre2"/>
        <w:spacing w:before="0"/>
        <w:rPr>
          <w:rFonts w:asciiTheme="minorHAnsi" w:hAnsiTheme="minorHAnsi" w:cs="MyriadPro-Bold"/>
          <w:bCs w:val="0"/>
          <w:color w:val="auto"/>
          <w:sz w:val="22"/>
          <w:szCs w:val="22"/>
        </w:rPr>
      </w:pPr>
      <w:bookmarkStart w:id="46" w:name="_Toc425414581"/>
      <w:r w:rsidRPr="00E5492A">
        <w:rPr>
          <w:rFonts w:asciiTheme="minorHAnsi" w:hAnsiTheme="minorHAnsi" w:cs="MyriadPro-Bold"/>
          <w:bCs w:val="0"/>
          <w:color w:val="auto"/>
          <w:sz w:val="22"/>
          <w:szCs w:val="22"/>
        </w:rPr>
        <w:t>III.</w:t>
      </w:r>
      <w:r w:rsidR="00AD1A5C" w:rsidRPr="00E5492A">
        <w:rPr>
          <w:rFonts w:asciiTheme="minorHAnsi" w:hAnsiTheme="minorHAnsi" w:cs="MyriadPro-Bold"/>
          <w:bCs w:val="0"/>
          <w:color w:val="auto"/>
          <w:sz w:val="22"/>
          <w:szCs w:val="22"/>
        </w:rPr>
        <w:t xml:space="preserve">2 Mise en </w:t>
      </w:r>
      <w:r w:rsidRPr="00E5492A">
        <w:rPr>
          <w:rFonts w:asciiTheme="minorHAnsi" w:hAnsiTheme="minorHAnsi" w:cs="MyriadPro-Bold"/>
          <w:bCs w:val="0"/>
          <w:color w:val="auto"/>
          <w:sz w:val="22"/>
          <w:szCs w:val="22"/>
        </w:rPr>
        <w:t>œuvre</w:t>
      </w:r>
      <w:r w:rsidR="00AD1A5C" w:rsidRPr="00E5492A">
        <w:rPr>
          <w:rFonts w:asciiTheme="minorHAnsi" w:hAnsiTheme="minorHAnsi" w:cs="MyriadPro-Bold"/>
          <w:bCs w:val="0"/>
          <w:color w:val="auto"/>
          <w:sz w:val="22"/>
          <w:szCs w:val="22"/>
        </w:rPr>
        <w:t xml:space="preserve"> du projet</w:t>
      </w:r>
      <w:bookmarkEnd w:id="46"/>
    </w:p>
    <w:p w:rsidR="000A455E" w:rsidRDefault="000A455E" w:rsidP="00242E89">
      <w:pPr>
        <w:pStyle w:val="Titre3"/>
        <w:spacing w:before="0"/>
        <w:rPr>
          <w:rFonts w:asciiTheme="minorHAnsi" w:hAnsiTheme="minorHAnsi" w:cs="ACaslonPro-Regular"/>
          <w:color w:val="000000"/>
        </w:rPr>
      </w:pPr>
    </w:p>
    <w:p w:rsidR="009D5314" w:rsidRPr="00242E89" w:rsidRDefault="00242E89" w:rsidP="00242E89">
      <w:pPr>
        <w:pStyle w:val="Titre3"/>
        <w:spacing w:before="0"/>
        <w:rPr>
          <w:rFonts w:asciiTheme="minorHAnsi" w:hAnsiTheme="minorHAnsi" w:cs="MyriadPro-Bold"/>
          <w:bCs w:val="0"/>
        </w:rPr>
      </w:pPr>
      <w:bookmarkStart w:id="47" w:name="_Toc425414582"/>
      <w:r w:rsidRPr="00242E89">
        <w:rPr>
          <w:rFonts w:asciiTheme="minorHAnsi" w:hAnsiTheme="minorHAnsi" w:cs="ACaslonPro-Regular"/>
          <w:color w:val="000000"/>
        </w:rPr>
        <w:t xml:space="preserve">III.2.1 </w:t>
      </w:r>
      <w:r w:rsidR="00AD1A5C" w:rsidRPr="00242E89">
        <w:rPr>
          <w:rFonts w:asciiTheme="minorHAnsi" w:hAnsiTheme="minorHAnsi" w:cs="ACaslonPro-Regular"/>
          <w:color w:val="000000"/>
        </w:rPr>
        <w:t xml:space="preserve">Gestion adaptative (modifications apportées à la conception du projet et résultats du projet lors de lamise en </w:t>
      </w:r>
      <w:r w:rsidRPr="00242E89">
        <w:rPr>
          <w:rFonts w:asciiTheme="minorHAnsi" w:hAnsiTheme="minorHAnsi" w:cs="ACaslonPro-Regular"/>
          <w:color w:val="000000"/>
        </w:rPr>
        <w:t>œuvre</w:t>
      </w:r>
      <w:r w:rsidR="00AD1A5C" w:rsidRPr="00242E89">
        <w:rPr>
          <w:rFonts w:asciiTheme="minorHAnsi" w:hAnsiTheme="minorHAnsi" w:cs="ACaslonPro-Regular"/>
          <w:color w:val="000000"/>
        </w:rPr>
        <w:t>)</w:t>
      </w:r>
      <w:bookmarkEnd w:id="47"/>
    </w:p>
    <w:p w:rsidR="003A01CC" w:rsidRPr="00242E89" w:rsidRDefault="00020D28" w:rsidP="003A01CC">
      <w:pPr>
        <w:autoSpaceDE w:val="0"/>
        <w:autoSpaceDN w:val="0"/>
        <w:adjustRightInd w:val="0"/>
        <w:spacing w:after="0" w:line="240" w:lineRule="auto"/>
        <w:jc w:val="both"/>
        <w:rPr>
          <w:rFonts w:cs="MyriadPro-Bold"/>
          <w:bCs/>
        </w:rPr>
      </w:pPr>
      <w:r>
        <w:rPr>
          <w:rFonts w:cs="MyriadPro-Bold"/>
          <w:bCs/>
        </w:rPr>
        <w:t>De manière globale, l’U</w:t>
      </w:r>
      <w:r w:rsidRPr="00020D28">
        <w:rPr>
          <w:rFonts w:cs="MyriadPro-Bold"/>
          <w:bCs/>
        </w:rPr>
        <w:t xml:space="preserve">GP a pu s’adapter et réagir efficacement aux contraintes ou événements intervenant dans la mise en œuvre du projet en y apportant des solutions adaptées (lancement d’activités prioritaires, </w:t>
      </w:r>
      <w:r>
        <w:rPr>
          <w:rFonts w:cs="MyriadPro-Bold"/>
          <w:bCs/>
        </w:rPr>
        <w:t>désignation de points focaux au sein du comité pilotage du projet</w:t>
      </w:r>
      <w:r w:rsidRPr="00020D28">
        <w:rPr>
          <w:rFonts w:cs="MyriadPro-Bold"/>
          <w:bCs/>
        </w:rPr>
        <w:t>, synergie entre activités, sensibilisation des parties prenantes, plaidoyer, etc.) dans une optique d’optimisation des résultats et de limitation des blocages.</w:t>
      </w:r>
      <w:r w:rsidR="003A01CC">
        <w:rPr>
          <w:rFonts w:cs="MyriadPro-Bold"/>
          <w:bCs/>
        </w:rPr>
        <w:t>Lors du processus du choix des régions pilotes, cinq régions ont été initialement choisies (le choix final se limitant à trois régions). L’UGP a effectué des séminaires de présentation du projet CB2 au niveau de ces 5 régions. Ces séminaires ont permis de sensibiliser les acteurs régionaux sur la nécessité d’entreprendre une action environnementale intégrée ainsi qu’une prise de conscience sur leur rôle clé en matière d’animation territoriale.</w:t>
      </w:r>
    </w:p>
    <w:p w:rsidR="00020D28" w:rsidRPr="00020D28" w:rsidRDefault="00020D28" w:rsidP="00020D28">
      <w:pPr>
        <w:autoSpaceDE w:val="0"/>
        <w:autoSpaceDN w:val="0"/>
        <w:adjustRightInd w:val="0"/>
        <w:spacing w:after="0" w:line="240" w:lineRule="auto"/>
        <w:jc w:val="both"/>
        <w:rPr>
          <w:rFonts w:cs="MyriadPro-Bold"/>
          <w:bCs/>
        </w:rPr>
      </w:pPr>
      <w:r w:rsidRPr="00020D28">
        <w:rPr>
          <w:rFonts w:cs="MyriadPro-Bold"/>
          <w:bCs/>
        </w:rPr>
        <w:t xml:space="preserve">Sur le plan conceptuel, l’implémentation du projet </w:t>
      </w:r>
      <w:r>
        <w:rPr>
          <w:rFonts w:cs="MyriadPro-Bold"/>
          <w:bCs/>
        </w:rPr>
        <w:t xml:space="preserve">CB2 </w:t>
      </w:r>
      <w:r w:rsidRPr="00020D28">
        <w:rPr>
          <w:rFonts w:cs="MyriadPro-Bold"/>
          <w:bCs/>
        </w:rPr>
        <w:t xml:space="preserve">n’a pas connu de changement quant aux objectifs initialement établis. Cependant, </w:t>
      </w:r>
      <w:r>
        <w:rPr>
          <w:rFonts w:cs="MyriadPro-Bold"/>
          <w:bCs/>
        </w:rPr>
        <w:t>e</w:t>
      </w:r>
      <w:r w:rsidRPr="00020D28">
        <w:rPr>
          <w:rFonts w:cs="MyriadPro-Bold"/>
          <w:bCs/>
        </w:rPr>
        <w:t xml:space="preserve">n ce qui concerne la planification générale, une demande de prolongation de </w:t>
      </w:r>
      <w:r>
        <w:rPr>
          <w:rFonts w:cs="MyriadPro-Bold"/>
          <w:bCs/>
        </w:rPr>
        <w:t>6 à 9</w:t>
      </w:r>
      <w:r w:rsidRPr="00020D28">
        <w:rPr>
          <w:rFonts w:cs="MyriadPro-Bold"/>
          <w:bCs/>
        </w:rPr>
        <w:t xml:space="preserve"> mois a été </w:t>
      </w:r>
      <w:r>
        <w:rPr>
          <w:rFonts w:cs="MyriadPro-Bold"/>
          <w:bCs/>
        </w:rPr>
        <w:t xml:space="preserve">formulée en novembre 2013 </w:t>
      </w:r>
      <w:r w:rsidRPr="00020D28">
        <w:rPr>
          <w:rFonts w:cs="MyriadPro-Bold"/>
          <w:bCs/>
        </w:rPr>
        <w:t xml:space="preserve">en vue </w:t>
      </w:r>
      <w:r>
        <w:rPr>
          <w:rFonts w:cs="MyriadPro-Bold"/>
          <w:bCs/>
        </w:rPr>
        <w:t>de combler les retards occasionnés dans le démarrage officiel du projet (avril 2012) et pour le démarrage effectif des activités en septembre 2013.</w:t>
      </w:r>
      <w:r w:rsidR="003A01CC">
        <w:rPr>
          <w:rFonts w:cs="MyriadPro-Bold"/>
          <w:bCs/>
        </w:rPr>
        <w:t xml:space="preserve"> En outre, </w:t>
      </w:r>
      <w:r w:rsidRPr="00020D28">
        <w:rPr>
          <w:rFonts w:cs="MyriadPro-Bold"/>
          <w:bCs/>
        </w:rPr>
        <w:t xml:space="preserve">suite au retard accusé </w:t>
      </w:r>
      <w:r w:rsidR="003A01CC">
        <w:rPr>
          <w:rFonts w:cs="MyriadPro-Bold"/>
          <w:bCs/>
        </w:rPr>
        <w:t>dans l’élaboration de la stratégie de généralisation,</w:t>
      </w:r>
      <w:r w:rsidRPr="00020D28">
        <w:rPr>
          <w:rFonts w:cs="MyriadPro-Bold"/>
          <w:bCs/>
        </w:rPr>
        <w:t xml:space="preserve"> une au</w:t>
      </w:r>
      <w:r w:rsidR="00A9081C">
        <w:rPr>
          <w:rFonts w:cs="MyriadPro-Bold"/>
          <w:bCs/>
        </w:rPr>
        <w:t>tre période de prolongation de 5</w:t>
      </w:r>
      <w:r w:rsidRPr="00020D28">
        <w:rPr>
          <w:rFonts w:cs="MyriadPro-Bold"/>
          <w:bCs/>
        </w:rPr>
        <w:t xml:space="preserve"> mois a été introduite </w:t>
      </w:r>
      <w:r w:rsidR="003A01CC">
        <w:rPr>
          <w:rFonts w:cs="MyriadPro-Bold"/>
          <w:bCs/>
        </w:rPr>
        <w:t xml:space="preserve">en </w:t>
      </w:r>
      <w:r w:rsidR="00A9081C">
        <w:rPr>
          <w:rFonts w:cs="MyriadPro-Bold"/>
          <w:bCs/>
        </w:rPr>
        <w:t xml:space="preserve">avril </w:t>
      </w:r>
      <w:r w:rsidR="003A01CC">
        <w:rPr>
          <w:rFonts w:cs="MyriadPro-Bold"/>
          <w:bCs/>
        </w:rPr>
        <w:t xml:space="preserve">2015 </w:t>
      </w:r>
      <w:r w:rsidRPr="00020D28">
        <w:rPr>
          <w:rFonts w:cs="MyriadPro-Bold"/>
          <w:bCs/>
        </w:rPr>
        <w:t xml:space="preserve">en vue </w:t>
      </w:r>
      <w:r w:rsidR="003A01CC">
        <w:rPr>
          <w:rFonts w:cs="MyriadPro-Bold"/>
          <w:bCs/>
        </w:rPr>
        <w:t>de</w:t>
      </w:r>
      <w:r w:rsidRPr="00020D28">
        <w:rPr>
          <w:rFonts w:cs="MyriadPro-Bold"/>
          <w:bCs/>
        </w:rPr>
        <w:t xml:space="preserve"> clore f</w:t>
      </w:r>
      <w:r w:rsidR="003A01CC">
        <w:rPr>
          <w:rFonts w:cs="MyriadPro-Bold"/>
          <w:bCs/>
        </w:rPr>
        <w:t xml:space="preserve">inalement le projet fin </w:t>
      </w:r>
      <w:r w:rsidR="00A9081C">
        <w:rPr>
          <w:rFonts w:cs="MyriadPro-Bold"/>
          <w:bCs/>
        </w:rPr>
        <w:t>septembre</w:t>
      </w:r>
      <w:r w:rsidR="003A01CC">
        <w:rPr>
          <w:rFonts w:cs="MyriadPro-Bold"/>
          <w:bCs/>
        </w:rPr>
        <w:t xml:space="preserve"> 2015</w:t>
      </w:r>
      <w:r w:rsidRPr="00020D28">
        <w:rPr>
          <w:rFonts w:cs="MyriadPro-Bold"/>
          <w:bCs/>
        </w:rPr>
        <w:t>.</w:t>
      </w:r>
    </w:p>
    <w:p w:rsidR="00242E89" w:rsidRPr="00242E89" w:rsidRDefault="00020D28" w:rsidP="00020D28">
      <w:pPr>
        <w:autoSpaceDE w:val="0"/>
        <w:autoSpaceDN w:val="0"/>
        <w:adjustRightInd w:val="0"/>
        <w:spacing w:after="0" w:line="240" w:lineRule="auto"/>
        <w:jc w:val="both"/>
        <w:rPr>
          <w:rFonts w:cs="MyriadPro-Bold"/>
          <w:bCs/>
        </w:rPr>
      </w:pPr>
      <w:r w:rsidRPr="00020D28">
        <w:rPr>
          <w:rFonts w:cs="MyriadPro-Bold"/>
          <w:bCs/>
        </w:rPr>
        <w:t xml:space="preserve">Sur le plan opérationnel, l’enchaînement des activités a été adapté en vue d’optimiser le temps. En effet, en raison des retards dans </w:t>
      </w:r>
      <w:r w:rsidR="003A01CC">
        <w:rPr>
          <w:rFonts w:cs="MyriadPro-Bold"/>
          <w:bCs/>
        </w:rPr>
        <w:t>le choix des régions et des communes cibles</w:t>
      </w:r>
      <w:r w:rsidRPr="00020D28">
        <w:rPr>
          <w:rFonts w:cs="MyriadPro-Bold"/>
          <w:bCs/>
        </w:rPr>
        <w:t>, les autres activités d</w:t>
      </w:r>
      <w:r w:rsidR="003A01CC">
        <w:rPr>
          <w:rFonts w:cs="MyriadPro-Bold"/>
          <w:bCs/>
        </w:rPr>
        <w:t xml:space="preserve">’élaboration des outils et procédures de l’IEL (cadre de référence, directives régionales IEL, outils méthodologiques, etc.) </w:t>
      </w:r>
      <w:r w:rsidRPr="00020D28">
        <w:rPr>
          <w:rFonts w:cs="MyriadPro-Bold"/>
          <w:bCs/>
        </w:rPr>
        <w:t xml:space="preserve">ont été lancées. Le but était d’éviter d’entraver le déroulement du projet. </w:t>
      </w:r>
    </w:p>
    <w:p w:rsidR="000A455E" w:rsidRDefault="003A01CC" w:rsidP="00EB58B1">
      <w:pPr>
        <w:autoSpaceDE w:val="0"/>
        <w:autoSpaceDN w:val="0"/>
        <w:adjustRightInd w:val="0"/>
        <w:spacing w:after="0" w:line="240" w:lineRule="auto"/>
        <w:jc w:val="both"/>
        <w:rPr>
          <w:rFonts w:cs="ACaslonPro-Regular"/>
          <w:color w:val="000000"/>
        </w:rPr>
      </w:pPr>
      <w:r>
        <w:rPr>
          <w:rFonts w:cs="ACaslonPro-Regular"/>
          <w:color w:val="000000"/>
        </w:rPr>
        <w:t>Sur le plan organisationnel, a</w:t>
      </w:r>
      <w:r w:rsidR="00D22B1A">
        <w:rPr>
          <w:rFonts w:cs="ACaslonPro-Regular"/>
          <w:color w:val="000000"/>
        </w:rPr>
        <w:t>u sein du Comité de Pilotage du Projet (CPP), des points focaux furent nommés pour établir un plan d’action sur les thématiques relatives au processus de formation (DFCAT), pour les PCD (DPE) et pour les ILDH (CN-INDH) et d’effectuer leur suivi avec la Coordinatrice Nationale du Projet (CNP). Par ailleurs de</w:t>
      </w:r>
      <w:r>
        <w:rPr>
          <w:rFonts w:cs="ACaslonPro-Regular"/>
          <w:color w:val="000000"/>
        </w:rPr>
        <w:t>s</w:t>
      </w:r>
      <w:r w:rsidR="00D22B1A">
        <w:rPr>
          <w:rFonts w:cs="ACaslonPro-Regular"/>
          <w:color w:val="000000"/>
        </w:rPr>
        <w:t xml:space="preserve"> GREET ont été formés au niveau de chacune des régions pilote pour assurer l’opérationnalisation du projet au niveau régional. Ces GREET s’adossent aux OREED et aux services régionaux de l’environnement.</w:t>
      </w:r>
    </w:p>
    <w:p w:rsidR="00D22B1A" w:rsidRDefault="00D22B1A" w:rsidP="00AD1A5C">
      <w:pPr>
        <w:autoSpaceDE w:val="0"/>
        <w:autoSpaceDN w:val="0"/>
        <w:adjustRightInd w:val="0"/>
        <w:spacing w:after="0" w:line="240" w:lineRule="auto"/>
        <w:rPr>
          <w:rFonts w:cs="ACaslonPro-Regular"/>
          <w:color w:val="000000"/>
        </w:rPr>
      </w:pPr>
    </w:p>
    <w:p w:rsidR="00AD1A5C" w:rsidRPr="003F177B" w:rsidRDefault="003F177B" w:rsidP="003F177B">
      <w:pPr>
        <w:pStyle w:val="Titre3"/>
        <w:spacing w:before="0"/>
        <w:rPr>
          <w:rFonts w:asciiTheme="minorHAnsi" w:hAnsiTheme="minorHAnsi" w:cs="ACaslonPro-Regular"/>
          <w:color w:val="auto"/>
        </w:rPr>
      </w:pPr>
      <w:bookmarkStart w:id="48" w:name="_Toc425414583"/>
      <w:r w:rsidRPr="003F177B">
        <w:rPr>
          <w:rFonts w:asciiTheme="minorHAnsi" w:hAnsiTheme="minorHAnsi" w:cs="Calibri"/>
          <w:color w:val="auto"/>
        </w:rPr>
        <w:t xml:space="preserve">III.2.2 </w:t>
      </w:r>
      <w:r w:rsidR="00A9081C">
        <w:rPr>
          <w:rFonts w:asciiTheme="minorHAnsi" w:hAnsiTheme="minorHAnsi" w:cs="ACaslonPro-Regular"/>
          <w:color w:val="auto"/>
        </w:rPr>
        <w:t>P</w:t>
      </w:r>
      <w:r w:rsidR="00AD1A5C" w:rsidRPr="003F177B">
        <w:rPr>
          <w:rFonts w:asciiTheme="minorHAnsi" w:hAnsiTheme="minorHAnsi" w:cs="ACaslonPro-Regular"/>
          <w:color w:val="auto"/>
        </w:rPr>
        <w:t>artenariat</w:t>
      </w:r>
      <w:r w:rsidR="00A9081C">
        <w:rPr>
          <w:rFonts w:asciiTheme="minorHAnsi" w:hAnsiTheme="minorHAnsi" w:cs="ACaslonPro-Regular"/>
          <w:color w:val="auto"/>
        </w:rPr>
        <w:t>s</w:t>
      </w:r>
      <w:r w:rsidR="00AD1A5C" w:rsidRPr="003F177B">
        <w:rPr>
          <w:rFonts w:asciiTheme="minorHAnsi" w:hAnsiTheme="minorHAnsi" w:cs="ACaslonPro-Regular"/>
          <w:color w:val="auto"/>
        </w:rPr>
        <w:t xml:space="preserve"> (avec les parties prenantes pertinentes impliquées dans le pays/la région)</w:t>
      </w:r>
      <w:bookmarkEnd w:id="48"/>
    </w:p>
    <w:p w:rsidR="003F177B" w:rsidRDefault="003F177B" w:rsidP="003F177B">
      <w:pPr>
        <w:autoSpaceDE w:val="0"/>
        <w:autoSpaceDN w:val="0"/>
        <w:adjustRightInd w:val="0"/>
        <w:spacing w:after="0" w:line="240" w:lineRule="auto"/>
        <w:jc w:val="both"/>
        <w:rPr>
          <w:rFonts w:ascii="Calibri" w:hAnsi="Calibri" w:cs="Calibri"/>
        </w:rPr>
      </w:pPr>
      <w:r>
        <w:rPr>
          <w:rFonts w:ascii="Calibri" w:hAnsi="Calibri" w:cs="Calibri"/>
        </w:rPr>
        <w:t>En prévision de la stratégie de généralisation de l’approche IEL et de la batterie d’outils et procédures développés dans le cadre du projet CB2, les partenaires au projet ont manifesté</w:t>
      </w:r>
      <w:r w:rsidR="00DA66AA">
        <w:rPr>
          <w:rFonts w:ascii="Calibri" w:hAnsi="Calibri" w:cs="Calibri"/>
        </w:rPr>
        <w:t>,</w:t>
      </w:r>
      <w:r>
        <w:rPr>
          <w:rFonts w:ascii="Calibri" w:hAnsi="Calibri" w:cs="Calibri"/>
        </w:rPr>
        <w:t xml:space="preserve"> dès le démarrage des travaux sur le Produit 1, leur intérêt dans l’adoption des résultats finaux et leur utilisation pour le développement de leurs stratégies et projets. Ceci atteste du degré d’appropriation </w:t>
      </w:r>
      <w:r w:rsidR="00DA66AA">
        <w:rPr>
          <w:rFonts w:ascii="Calibri" w:hAnsi="Calibri" w:cs="Calibri"/>
        </w:rPr>
        <w:t>des résultats du projet CB2 par les partenaires.</w:t>
      </w:r>
    </w:p>
    <w:p w:rsidR="00143124" w:rsidRDefault="00DA66AA" w:rsidP="003F177B">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Ainsi, la DGCL à travers sa Direction de formation des cadres (DFCAT), compte utiliser les outils méthodologiques de l’approche IEL </w:t>
      </w:r>
      <w:r w:rsidR="00B93891">
        <w:rPr>
          <w:rFonts w:ascii="Calibri" w:hAnsi="Calibri" w:cs="Calibri"/>
        </w:rPr>
        <w:t xml:space="preserve">(après leur adaptation) </w:t>
      </w:r>
      <w:r>
        <w:rPr>
          <w:rFonts w:ascii="Calibri" w:hAnsi="Calibri" w:cs="Calibri"/>
        </w:rPr>
        <w:t>dans le kit de formation destiné aux Secrétaires Généraux (SG) des communes. En effet, la DFCAT assure la formation des SG nouvellement nommés et propose une for</w:t>
      </w:r>
      <w:r w:rsidR="00B93891">
        <w:rPr>
          <w:rFonts w:ascii="Calibri" w:hAnsi="Calibri" w:cs="Calibri"/>
        </w:rPr>
        <w:t>mation continue à tous les SG relevant des Communes Territoriales</w:t>
      </w:r>
      <w:r>
        <w:rPr>
          <w:rFonts w:ascii="Calibri" w:hAnsi="Calibri" w:cs="Calibri"/>
        </w:rPr>
        <w:t xml:space="preserve">. Ces formations seraient l’espace idoine pour </w:t>
      </w:r>
      <w:r w:rsidR="00143124">
        <w:rPr>
          <w:rFonts w:ascii="Calibri" w:hAnsi="Calibri" w:cs="Calibri"/>
        </w:rPr>
        <w:t xml:space="preserve">renforcer les capacités des responsables communaux dans le domaine de l’intégration de l’environnemental mondial dans la gestion locale. </w:t>
      </w:r>
      <w:r w:rsidR="00B93891" w:rsidRPr="00B93891">
        <w:rPr>
          <w:rFonts w:ascii="Calibri" w:hAnsi="Calibri" w:cs="Calibri"/>
        </w:rPr>
        <w:t>La DFCAT et la DPCC ont envisagé de signer un accord de partenariat sur toutes thématiques de renforcement des capacités liées au domaine de l’environnement et de développement durable.</w:t>
      </w:r>
    </w:p>
    <w:p w:rsidR="00C84500" w:rsidRDefault="00C84500" w:rsidP="003F177B">
      <w:pPr>
        <w:autoSpaceDE w:val="0"/>
        <w:autoSpaceDN w:val="0"/>
        <w:adjustRightInd w:val="0"/>
        <w:spacing w:after="0" w:line="240" w:lineRule="auto"/>
        <w:jc w:val="both"/>
        <w:rPr>
          <w:rFonts w:ascii="Calibri" w:hAnsi="Calibri" w:cs="Calibri"/>
        </w:rPr>
      </w:pPr>
    </w:p>
    <w:p w:rsidR="003F177B" w:rsidRDefault="00143124" w:rsidP="003F177B">
      <w:pPr>
        <w:autoSpaceDE w:val="0"/>
        <w:autoSpaceDN w:val="0"/>
        <w:adjustRightInd w:val="0"/>
        <w:spacing w:after="0" w:line="240" w:lineRule="auto"/>
        <w:jc w:val="both"/>
        <w:rPr>
          <w:rFonts w:ascii="Calibri" w:hAnsi="Calibri" w:cs="Calibri"/>
        </w:rPr>
      </w:pPr>
      <w:r>
        <w:rPr>
          <w:rFonts w:ascii="Calibri" w:hAnsi="Calibri" w:cs="Calibri"/>
        </w:rPr>
        <w:t xml:space="preserve">Par ailleurs, la GIZ dont le projet ACCN présente plusieurs résultats similaires à ceux du projet CB2, a participé aux travaux de simplification des outils méthodologiques développés dans le cadre du projet CB2. La GIZ compte utiliser ces outils dans ses programmes de renforcement des capacités. </w:t>
      </w:r>
    </w:p>
    <w:p w:rsidR="006B0345" w:rsidRDefault="00BE3F55" w:rsidP="003F177B">
      <w:pPr>
        <w:autoSpaceDE w:val="0"/>
        <w:autoSpaceDN w:val="0"/>
        <w:adjustRightInd w:val="0"/>
        <w:spacing w:after="0" w:line="240" w:lineRule="auto"/>
        <w:jc w:val="both"/>
        <w:rPr>
          <w:rFonts w:ascii="Calibri" w:hAnsi="Calibri" w:cs="Calibri"/>
        </w:rPr>
      </w:pPr>
      <w:r>
        <w:rPr>
          <w:rFonts w:ascii="Calibri" w:hAnsi="Calibri" w:cs="Calibri"/>
        </w:rPr>
        <w:t>En outre, le MDCE a prévu de signer une convention de partenariat avec l’association des présidents de communes pour généraliser l’utilisation de l’approche IEL. La signature de cette convention, initialement prévue lors de l’atelier du 1</w:t>
      </w:r>
      <w:r w:rsidRPr="00BE3F55">
        <w:rPr>
          <w:rFonts w:ascii="Calibri" w:hAnsi="Calibri" w:cs="Calibri"/>
          <w:vertAlign w:val="superscript"/>
        </w:rPr>
        <w:t>er</w:t>
      </w:r>
      <w:r>
        <w:rPr>
          <w:rFonts w:ascii="Calibri" w:hAnsi="Calibri" w:cs="Calibri"/>
        </w:rPr>
        <w:t xml:space="preserve"> juin 2015, a été reportée. Elle devrait avoir lieu avant la date d’achèvement du projet CB2.</w:t>
      </w:r>
    </w:p>
    <w:p w:rsidR="00C84500" w:rsidRDefault="00C84500" w:rsidP="003F177B">
      <w:pPr>
        <w:autoSpaceDE w:val="0"/>
        <w:autoSpaceDN w:val="0"/>
        <w:adjustRightInd w:val="0"/>
        <w:spacing w:after="0" w:line="240" w:lineRule="auto"/>
        <w:jc w:val="both"/>
        <w:rPr>
          <w:rFonts w:ascii="Calibri" w:hAnsi="Calibri" w:cs="Calibri"/>
        </w:rPr>
      </w:pPr>
    </w:p>
    <w:p w:rsidR="006B0345" w:rsidRDefault="006B0345" w:rsidP="003F177B">
      <w:pPr>
        <w:autoSpaceDE w:val="0"/>
        <w:autoSpaceDN w:val="0"/>
        <w:adjustRightInd w:val="0"/>
        <w:spacing w:after="0" w:line="240" w:lineRule="auto"/>
        <w:jc w:val="both"/>
        <w:rPr>
          <w:rFonts w:ascii="Calibri" w:hAnsi="Calibri" w:cs="Calibri"/>
        </w:rPr>
      </w:pPr>
      <w:r w:rsidRPr="006B0345">
        <w:rPr>
          <w:rFonts w:ascii="Calibri" w:hAnsi="Calibri" w:cs="Calibri"/>
        </w:rPr>
        <w:t>L’ONU</w:t>
      </w:r>
      <w:r w:rsidR="00604D3A">
        <w:rPr>
          <w:rFonts w:ascii="Calibri" w:hAnsi="Calibri" w:cs="Calibri"/>
        </w:rPr>
        <w:t>-</w:t>
      </w:r>
      <w:r w:rsidRPr="006B0345">
        <w:rPr>
          <w:rFonts w:ascii="Calibri" w:hAnsi="Calibri" w:cs="Calibri"/>
        </w:rPr>
        <w:t>femmes dans le cadre d’un projet d’appui à la planification sensible au Genre intégrant l’adaptation au changement climatique, a développé et est en train de tester au niveau de 8 communes de la province d’Errachidia, l’implémentation d’une application SIC gendérisé et enrichi par les indicateurs de réduction des risques et désastres climatiques. L’ONU</w:t>
      </w:r>
      <w:r w:rsidR="00604D3A">
        <w:rPr>
          <w:rFonts w:ascii="Calibri" w:hAnsi="Calibri" w:cs="Calibri"/>
        </w:rPr>
        <w:t>-</w:t>
      </w:r>
      <w:r w:rsidRPr="006B0345">
        <w:rPr>
          <w:rFonts w:ascii="Calibri" w:hAnsi="Calibri" w:cs="Calibri"/>
        </w:rPr>
        <w:t xml:space="preserve">femmes a pu avoir l’aval de la DGCL pour la réalisation de ce travail sur une application hors SIC qui sera intégrée par la suite dans l’édition officielle du SIC. </w:t>
      </w:r>
      <w:r w:rsidRPr="006B0345">
        <w:rPr>
          <w:rFonts w:ascii="Calibri" w:hAnsi="Calibri" w:cs="Calibri"/>
          <w:u w:val="single"/>
        </w:rPr>
        <w:t>Un accord a été conclu</w:t>
      </w:r>
      <w:r w:rsidRPr="006B0345">
        <w:rPr>
          <w:rFonts w:ascii="Calibri" w:hAnsi="Calibri" w:cs="Calibri"/>
        </w:rPr>
        <w:t xml:space="preserve"> avec ce projet pour que l’intervention du CB2 vienne </w:t>
      </w:r>
      <w:r w:rsidR="00DD6330" w:rsidRPr="006B0345">
        <w:rPr>
          <w:rFonts w:ascii="Calibri" w:hAnsi="Calibri" w:cs="Calibri"/>
        </w:rPr>
        <w:t>compléter cette</w:t>
      </w:r>
      <w:r w:rsidRPr="006B0345">
        <w:rPr>
          <w:rFonts w:ascii="Calibri" w:hAnsi="Calibri" w:cs="Calibri"/>
        </w:rPr>
        <w:t xml:space="preserve"> application par l’intégration des autres aspects environnementaux globaux qui n’ont pas été pris en considération dans le SIC_GCC, en </w:t>
      </w:r>
      <w:r w:rsidR="00DD6330" w:rsidRPr="006B0345">
        <w:rPr>
          <w:rFonts w:ascii="Calibri" w:hAnsi="Calibri" w:cs="Calibri"/>
        </w:rPr>
        <w:t>particulier les</w:t>
      </w:r>
      <w:r w:rsidRPr="006B0345">
        <w:rPr>
          <w:rFonts w:ascii="Calibri" w:hAnsi="Calibri" w:cs="Calibri"/>
        </w:rPr>
        <w:t xml:space="preserve"> aspects relatifs à la préservation de la biodiversité, pour proposer une application SIC_DD.  Une fois élaborée, cette application sera mise à disposition du projet ONU</w:t>
      </w:r>
      <w:r w:rsidR="00604D3A">
        <w:rPr>
          <w:rFonts w:ascii="Calibri" w:hAnsi="Calibri" w:cs="Calibri"/>
        </w:rPr>
        <w:t>-</w:t>
      </w:r>
      <w:r w:rsidRPr="006B0345">
        <w:rPr>
          <w:rFonts w:ascii="Calibri" w:hAnsi="Calibri" w:cs="Calibri"/>
        </w:rPr>
        <w:t>femmes pour test au niveau de ces zones d’intervention. Elle sera également testée au niveau des communes pilotes CB2 dont il est prévu le verdissement du PCD.</w:t>
      </w:r>
    </w:p>
    <w:p w:rsidR="00143124" w:rsidRDefault="00143124" w:rsidP="003F177B">
      <w:pPr>
        <w:autoSpaceDE w:val="0"/>
        <w:autoSpaceDN w:val="0"/>
        <w:adjustRightInd w:val="0"/>
        <w:spacing w:after="0" w:line="240" w:lineRule="auto"/>
        <w:jc w:val="both"/>
        <w:rPr>
          <w:rFonts w:ascii="Calibri" w:hAnsi="Calibri" w:cs="Calibri"/>
        </w:rPr>
      </w:pPr>
    </w:p>
    <w:p w:rsidR="00AD1A5C" w:rsidRDefault="00B623A5" w:rsidP="00B623A5">
      <w:pPr>
        <w:pStyle w:val="Titre3"/>
        <w:spacing w:before="0"/>
        <w:rPr>
          <w:rFonts w:asciiTheme="minorHAnsi" w:hAnsiTheme="minorHAnsi" w:cs="ACaslonPro-Regular"/>
          <w:color w:val="auto"/>
        </w:rPr>
      </w:pPr>
      <w:bookmarkStart w:id="49" w:name="_Toc425414584"/>
      <w:r w:rsidRPr="00BE3F55">
        <w:rPr>
          <w:rFonts w:asciiTheme="minorHAnsi" w:hAnsiTheme="minorHAnsi" w:cs="Calibri"/>
          <w:color w:val="auto"/>
        </w:rPr>
        <w:t xml:space="preserve">III.2.3 </w:t>
      </w:r>
      <w:r w:rsidR="00AD1A5C" w:rsidRPr="00BE3F55">
        <w:rPr>
          <w:rFonts w:asciiTheme="minorHAnsi" w:hAnsiTheme="minorHAnsi" w:cs="ACaslonPro-Regular"/>
          <w:color w:val="auto"/>
        </w:rPr>
        <w:t>Commentaires provenant des activités de suivi et d’évaluation utilisés dans le cadre de la gestion adaptative</w:t>
      </w:r>
      <w:bookmarkEnd w:id="49"/>
    </w:p>
    <w:p w:rsidR="00B623A5" w:rsidRDefault="00B623A5" w:rsidP="00B623A5"/>
    <w:tbl>
      <w:tblPr>
        <w:tblStyle w:val="Grilledutableau"/>
        <w:tblW w:w="0" w:type="auto"/>
        <w:tblLook w:val="04A0"/>
      </w:tblPr>
      <w:tblGrid>
        <w:gridCol w:w="4606"/>
        <w:gridCol w:w="4606"/>
      </w:tblGrid>
      <w:tr w:rsidR="0008352F" w:rsidRPr="00676861" w:rsidTr="00676861">
        <w:tc>
          <w:tcPr>
            <w:tcW w:w="4606" w:type="dxa"/>
            <w:shd w:val="clear" w:color="auto" w:fill="BFBFBF" w:themeFill="background1" w:themeFillShade="BF"/>
          </w:tcPr>
          <w:p w:rsidR="0008352F" w:rsidRPr="00676861" w:rsidRDefault="0008352F" w:rsidP="00676861">
            <w:pPr>
              <w:jc w:val="center"/>
              <w:rPr>
                <w:b/>
              </w:rPr>
            </w:pPr>
            <w:r w:rsidRPr="00676861">
              <w:rPr>
                <w:b/>
              </w:rPr>
              <w:t>Aspects</w:t>
            </w:r>
          </w:p>
        </w:tc>
        <w:tc>
          <w:tcPr>
            <w:tcW w:w="4606" w:type="dxa"/>
            <w:shd w:val="clear" w:color="auto" w:fill="BFBFBF" w:themeFill="background1" w:themeFillShade="BF"/>
          </w:tcPr>
          <w:p w:rsidR="0008352F" w:rsidRPr="00676861" w:rsidRDefault="0008352F" w:rsidP="00676861">
            <w:pPr>
              <w:jc w:val="center"/>
              <w:rPr>
                <w:b/>
              </w:rPr>
            </w:pPr>
            <w:r w:rsidRPr="00676861">
              <w:rPr>
                <w:b/>
              </w:rPr>
              <w:t>Prise de décision</w:t>
            </w:r>
          </w:p>
        </w:tc>
      </w:tr>
      <w:tr w:rsidR="00676861" w:rsidTr="00FA631C">
        <w:tc>
          <w:tcPr>
            <w:tcW w:w="9212" w:type="dxa"/>
            <w:gridSpan w:val="2"/>
          </w:tcPr>
          <w:p w:rsidR="00676861" w:rsidRPr="00676861" w:rsidRDefault="00676861" w:rsidP="00B623A5">
            <w:pPr>
              <w:rPr>
                <w:b/>
              </w:rPr>
            </w:pPr>
            <w:r w:rsidRPr="00676861">
              <w:rPr>
                <w:b/>
              </w:rPr>
              <w:t>2012</w:t>
            </w:r>
          </w:p>
        </w:tc>
      </w:tr>
      <w:tr w:rsidR="0008352F" w:rsidTr="0008352F">
        <w:tc>
          <w:tcPr>
            <w:tcW w:w="4606" w:type="dxa"/>
          </w:tcPr>
          <w:p w:rsidR="0008352F" w:rsidRDefault="00FC41D7" w:rsidP="00B623A5">
            <w:r>
              <w:t>Aires d’intervention du projet</w:t>
            </w:r>
          </w:p>
        </w:tc>
        <w:tc>
          <w:tcPr>
            <w:tcW w:w="4606" w:type="dxa"/>
          </w:tcPr>
          <w:p w:rsidR="0008352F" w:rsidRDefault="00FC41D7" w:rsidP="00B623A5">
            <w:r>
              <w:t>Reconsidérer la proposition d’intervenir sur plus d’une région.</w:t>
            </w:r>
          </w:p>
          <w:p w:rsidR="00FC41D7" w:rsidRDefault="00FC41D7" w:rsidP="00B623A5">
            <w:r>
              <w:t>Procéder au choix des sites d’intervention du projet.</w:t>
            </w:r>
          </w:p>
        </w:tc>
      </w:tr>
      <w:tr w:rsidR="00676861" w:rsidTr="00FA631C">
        <w:tc>
          <w:tcPr>
            <w:tcW w:w="9212" w:type="dxa"/>
            <w:gridSpan w:val="2"/>
          </w:tcPr>
          <w:p w:rsidR="00676861" w:rsidRPr="00676861" w:rsidRDefault="00676861" w:rsidP="00B623A5">
            <w:pPr>
              <w:rPr>
                <w:b/>
              </w:rPr>
            </w:pPr>
            <w:r w:rsidRPr="00676861">
              <w:rPr>
                <w:b/>
              </w:rPr>
              <w:t>2013</w:t>
            </w:r>
          </w:p>
        </w:tc>
      </w:tr>
      <w:tr w:rsidR="0008352F" w:rsidTr="0008352F">
        <w:tc>
          <w:tcPr>
            <w:tcW w:w="4606" w:type="dxa"/>
          </w:tcPr>
          <w:p w:rsidR="0008352F" w:rsidRDefault="0008352F" w:rsidP="00B623A5">
            <w:r>
              <w:t>P1 : cadre institutionnel développé</w:t>
            </w:r>
          </w:p>
        </w:tc>
        <w:tc>
          <w:tcPr>
            <w:tcW w:w="4606" w:type="dxa"/>
          </w:tcPr>
          <w:p w:rsidR="0008352F" w:rsidRDefault="0008352F" w:rsidP="00B623A5">
            <w:r>
              <w:t>Synergie avec d’autres programmes</w:t>
            </w:r>
          </w:p>
        </w:tc>
      </w:tr>
      <w:tr w:rsidR="0008352F" w:rsidTr="0008352F">
        <w:tc>
          <w:tcPr>
            <w:tcW w:w="4606" w:type="dxa"/>
          </w:tcPr>
          <w:p w:rsidR="0008352F" w:rsidRDefault="0008352F" w:rsidP="00B623A5">
            <w:r>
              <w:t>P2 : capacités des acteurs renforcées</w:t>
            </w:r>
          </w:p>
        </w:tc>
        <w:tc>
          <w:tcPr>
            <w:tcW w:w="4606" w:type="dxa"/>
          </w:tcPr>
          <w:p w:rsidR="0008352F" w:rsidRDefault="0008352F" w:rsidP="00B623A5">
            <w:r>
              <w:t>Choix des communes pilotes doit se faire parmi les 35 communes membres des GREET</w:t>
            </w:r>
          </w:p>
        </w:tc>
      </w:tr>
      <w:tr w:rsidR="0008352F" w:rsidTr="0008352F">
        <w:tc>
          <w:tcPr>
            <w:tcW w:w="4606" w:type="dxa"/>
          </w:tcPr>
          <w:p w:rsidR="0008352F" w:rsidRDefault="0008352F" w:rsidP="00B623A5">
            <w:r>
              <w:t>P3 : mécanismes de dissémination de l’information, de gestion des connaissances et de communication sont établis et opérationnels</w:t>
            </w:r>
          </w:p>
        </w:tc>
        <w:tc>
          <w:tcPr>
            <w:tcW w:w="4606" w:type="dxa"/>
          </w:tcPr>
          <w:p w:rsidR="0008352F" w:rsidRDefault="00FC41D7" w:rsidP="00B623A5">
            <w:r>
              <w:t>Validation du plan de communication et priorisation des actions de communication avec le CPP et les régions pilotes</w:t>
            </w:r>
          </w:p>
        </w:tc>
      </w:tr>
      <w:tr w:rsidR="00676861" w:rsidTr="00FA631C">
        <w:tc>
          <w:tcPr>
            <w:tcW w:w="9212" w:type="dxa"/>
            <w:gridSpan w:val="2"/>
          </w:tcPr>
          <w:p w:rsidR="00676861" w:rsidRPr="00676861" w:rsidRDefault="00676861" w:rsidP="00B623A5">
            <w:pPr>
              <w:rPr>
                <w:b/>
              </w:rPr>
            </w:pPr>
            <w:r w:rsidRPr="00676861">
              <w:rPr>
                <w:b/>
              </w:rPr>
              <w:t>2014</w:t>
            </w:r>
          </w:p>
        </w:tc>
      </w:tr>
      <w:tr w:rsidR="00407288" w:rsidTr="0008352F">
        <w:tc>
          <w:tcPr>
            <w:tcW w:w="4606" w:type="dxa"/>
          </w:tcPr>
          <w:p w:rsidR="00407288" w:rsidRDefault="00676861" w:rsidP="00B623A5">
            <w:r w:rsidRPr="00676861">
              <w:t>P3 : mécanismes de dissémination de l’information, de gestion des connaissances et de communication sont établis et opérationnels</w:t>
            </w:r>
          </w:p>
        </w:tc>
        <w:tc>
          <w:tcPr>
            <w:tcW w:w="4606" w:type="dxa"/>
          </w:tcPr>
          <w:p w:rsidR="00407288" w:rsidRDefault="00676861" w:rsidP="00B623A5">
            <w:r>
              <w:t>Mettre le focus sur l’élaboration de la stratégie de généralisation et sur les aspects de capitalisation et de gestion des connaissances.</w:t>
            </w:r>
          </w:p>
          <w:p w:rsidR="00676861" w:rsidRDefault="00676861" w:rsidP="00B623A5"/>
          <w:p w:rsidR="00676861" w:rsidRDefault="00676861" w:rsidP="00B623A5">
            <w:r>
              <w:t>Procéder à la mise en ligne de la page web du projet</w:t>
            </w:r>
          </w:p>
          <w:p w:rsidR="00676861" w:rsidRDefault="00676861" w:rsidP="00B623A5"/>
          <w:p w:rsidR="00676861" w:rsidRDefault="00676861" w:rsidP="00B623A5">
            <w:r>
              <w:t>Présenter les résultats et produits du projet aux décideurs DGCL et INDH</w:t>
            </w:r>
          </w:p>
        </w:tc>
      </w:tr>
    </w:tbl>
    <w:p w:rsidR="00676861" w:rsidRDefault="00676861" w:rsidP="00B623A5"/>
    <w:p w:rsidR="00AD1A5C" w:rsidRPr="00AD6955" w:rsidRDefault="00AD6955" w:rsidP="00AD6955">
      <w:pPr>
        <w:pStyle w:val="Titre3"/>
        <w:spacing w:before="0"/>
        <w:rPr>
          <w:rFonts w:asciiTheme="minorHAnsi" w:hAnsiTheme="minorHAnsi" w:cs="ACaslonPro-Regular"/>
          <w:color w:val="auto"/>
        </w:rPr>
      </w:pPr>
      <w:bookmarkStart w:id="50" w:name="_Toc425414585"/>
      <w:r w:rsidRPr="00AD6955">
        <w:rPr>
          <w:rFonts w:asciiTheme="minorHAnsi" w:hAnsiTheme="minorHAnsi" w:cs="ACaslonPro-Regular"/>
          <w:color w:val="auto"/>
        </w:rPr>
        <w:t xml:space="preserve">III.2.4 </w:t>
      </w:r>
      <w:r w:rsidR="00AD1A5C" w:rsidRPr="00AD6955">
        <w:rPr>
          <w:rFonts w:asciiTheme="minorHAnsi" w:hAnsiTheme="minorHAnsi" w:cs="ACaslonPro-Regular"/>
          <w:color w:val="auto"/>
        </w:rPr>
        <w:t>Financement du projet</w:t>
      </w:r>
      <w:bookmarkEnd w:id="50"/>
    </w:p>
    <w:p w:rsidR="00676861" w:rsidRDefault="00676861" w:rsidP="00676861">
      <w:pPr>
        <w:autoSpaceDE w:val="0"/>
        <w:autoSpaceDN w:val="0"/>
        <w:adjustRightInd w:val="0"/>
        <w:spacing w:after="0" w:line="240" w:lineRule="auto"/>
        <w:jc w:val="both"/>
        <w:rPr>
          <w:rFonts w:cs="ACaslonPro-Regular"/>
          <w:color w:val="000000"/>
        </w:rPr>
      </w:pPr>
      <w:r w:rsidRPr="00676861">
        <w:rPr>
          <w:rFonts w:cs="ACaslonPro-Regular"/>
          <w:color w:val="000000"/>
        </w:rPr>
        <w:t xml:space="preserve">Cette évaluation de la gestion financière vise à faire un état des lieux de l’utilisation des ressources depuis le début du projet et ne peut remplacer un audit financier externe. L’évaluation de la gestion financière du projet est réalisée à l’aide des plans de travail annuels (AWP) </w:t>
      </w:r>
      <w:r>
        <w:rPr>
          <w:rFonts w:cs="ACaslonPro-Regular"/>
          <w:color w:val="000000"/>
        </w:rPr>
        <w:t>et les CDR recueillis auprès de l’UGP. Au cours de la période 2012-2015</w:t>
      </w:r>
      <w:r w:rsidRPr="00676861">
        <w:rPr>
          <w:rFonts w:cs="ACaslonPro-Regular"/>
          <w:color w:val="000000"/>
        </w:rPr>
        <w:t>, l’exécution financière du projet a bénéficié des services d’une assistante administrative et financière travaillant au sein de l'équipe de</w:t>
      </w:r>
      <w:r>
        <w:rPr>
          <w:rFonts w:cs="ACaslonPro-Regular"/>
          <w:color w:val="000000"/>
        </w:rPr>
        <w:t xml:space="preserve"> l'UGP</w:t>
      </w:r>
      <w:r w:rsidRPr="00676861">
        <w:rPr>
          <w:rFonts w:cs="ACaslonPro-Regular"/>
          <w:color w:val="000000"/>
        </w:rPr>
        <w:t xml:space="preserve">. L'administration des finances </w:t>
      </w:r>
      <w:r w:rsidR="009E1AE5">
        <w:rPr>
          <w:rFonts w:cs="ACaslonPro-Regular"/>
          <w:color w:val="000000"/>
        </w:rPr>
        <w:t xml:space="preserve">du </w:t>
      </w:r>
      <w:r w:rsidRPr="00676861">
        <w:rPr>
          <w:rFonts w:cs="ACaslonPro-Regular"/>
          <w:color w:val="000000"/>
        </w:rPr>
        <w:t>projet est bien organisée et efficace.</w:t>
      </w:r>
    </w:p>
    <w:p w:rsidR="00676861" w:rsidRPr="00676861" w:rsidRDefault="00676861" w:rsidP="00676861">
      <w:pPr>
        <w:autoSpaceDE w:val="0"/>
        <w:autoSpaceDN w:val="0"/>
        <w:adjustRightInd w:val="0"/>
        <w:spacing w:after="0" w:line="240" w:lineRule="auto"/>
        <w:jc w:val="both"/>
        <w:rPr>
          <w:rFonts w:cs="ACaslonPro-Regular"/>
          <w:color w:val="000000"/>
        </w:rPr>
      </w:pPr>
    </w:p>
    <w:p w:rsidR="00AD6955" w:rsidRDefault="00676861" w:rsidP="00676861">
      <w:pPr>
        <w:autoSpaceDE w:val="0"/>
        <w:autoSpaceDN w:val="0"/>
        <w:adjustRightInd w:val="0"/>
        <w:spacing w:after="0" w:line="240" w:lineRule="auto"/>
        <w:jc w:val="both"/>
        <w:rPr>
          <w:rFonts w:cs="ACaslonPro-Regular"/>
          <w:color w:val="000000"/>
        </w:rPr>
      </w:pPr>
      <w:r>
        <w:rPr>
          <w:rFonts w:cs="ACaslonPro-Regular"/>
          <w:color w:val="000000"/>
        </w:rPr>
        <w:t>Le tableau</w:t>
      </w:r>
      <w:r w:rsidRPr="00676861">
        <w:rPr>
          <w:rFonts w:cs="ACaslonPro-Regular"/>
          <w:color w:val="000000"/>
        </w:rPr>
        <w:t xml:space="preserve"> suivant présente le budget total du projet prévu initialement dans le ProDoc sur les 3 années que devrait durer la mise en œuvre du projet.</w:t>
      </w:r>
    </w:p>
    <w:p w:rsidR="000F571E" w:rsidRDefault="000F571E" w:rsidP="00676861">
      <w:pPr>
        <w:autoSpaceDE w:val="0"/>
        <w:autoSpaceDN w:val="0"/>
        <w:adjustRightInd w:val="0"/>
        <w:spacing w:after="0" w:line="240" w:lineRule="auto"/>
        <w:jc w:val="both"/>
        <w:rPr>
          <w:rFonts w:cs="ACaslonPro-Regular"/>
          <w:color w:val="000000"/>
        </w:rPr>
      </w:pPr>
    </w:p>
    <w:tbl>
      <w:tblPr>
        <w:tblStyle w:val="Grilledutableau"/>
        <w:tblW w:w="0" w:type="auto"/>
        <w:tblLook w:val="04A0"/>
      </w:tblPr>
      <w:tblGrid>
        <w:gridCol w:w="1573"/>
        <w:gridCol w:w="1224"/>
        <w:gridCol w:w="1308"/>
        <w:gridCol w:w="1142"/>
        <w:gridCol w:w="1270"/>
        <w:gridCol w:w="1374"/>
        <w:gridCol w:w="1171"/>
      </w:tblGrid>
      <w:tr w:rsidR="000F571E" w:rsidTr="00FA631C">
        <w:tc>
          <w:tcPr>
            <w:tcW w:w="9062" w:type="dxa"/>
            <w:gridSpan w:val="7"/>
            <w:shd w:val="clear" w:color="auto" w:fill="BFBFBF" w:themeFill="background1" w:themeFillShade="BF"/>
          </w:tcPr>
          <w:p w:rsidR="000F571E" w:rsidRPr="001F0900" w:rsidRDefault="000F571E" w:rsidP="00FA631C">
            <w:pPr>
              <w:jc w:val="center"/>
              <w:rPr>
                <w:b/>
                <w:lang w:val="fr-CA"/>
              </w:rPr>
            </w:pPr>
            <w:r w:rsidRPr="001F0900">
              <w:rPr>
                <w:b/>
                <w:lang w:val="fr-CA"/>
              </w:rPr>
              <w:t>Budget FEM</w:t>
            </w:r>
          </w:p>
        </w:tc>
      </w:tr>
      <w:tr w:rsidR="000F571E" w:rsidRPr="000D7795" w:rsidTr="00FA631C">
        <w:tc>
          <w:tcPr>
            <w:tcW w:w="1573" w:type="dxa"/>
          </w:tcPr>
          <w:p w:rsidR="000F571E" w:rsidRPr="000D7795" w:rsidRDefault="000F571E" w:rsidP="00FA631C">
            <w:pPr>
              <w:rPr>
                <w:b/>
                <w:lang w:val="fr-CA"/>
              </w:rPr>
            </w:pPr>
            <w:r w:rsidRPr="000D7795">
              <w:rPr>
                <w:b/>
                <w:lang w:val="fr-CA"/>
              </w:rPr>
              <w:t>Années</w:t>
            </w:r>
          </w:p>
        </w:tc>
        <w:tc>
          <w:tcPr>
            <w:tcW w:w="1224" w:type="dxa"/>
          </w:tcPr>
          <w:p w:rsidR="000F571E" w:rsidRPr="000D7795" w:rsidRDefault="000F571E" w:rsidP="00FA631C">
            <w:pPr>
              <w:rPr>
                <w:b/>
                <w:lang w:val="fr-CA"/>
              </w:rPr>
            </w:pPr>
            <w:r w:rsidRPr="000D7795">
              <w:rPr>
                <w:b/>
                <w:lang w:val="fr-CA"/>
              </w:rPr>
              <w:t>2011</w:t>
            </w:r>
          </w:p>
        </w:tc>
        <w:tc>
          <w:tcPr>
            <w:tcW w:w="1308" w:type="dxa"/>
          </w:tcPr>
          <w:p w:rsidR="000F571E" w:rsidRPr="000D7795" w:rsidRDefault="000F571E" w:rsidP="00FA631C">
            <w:pPr>
              <w:rPr>
                <w:b/>
                <w:lang w:val="fr-CA"/>
              </w:rPr>
            </w:pPr>
            <w:r w:rsidRPr="000D7795">
              <w:rPr>
                <w:b/>
                <w:lang w:val="fr-CA"/>
              </w:rPr>
              <w:t>2012</w:t>
            </w:r>
          </w:p>
        </w:tc>
        <w:tc>
          <w:tcPr>
            <w:tcW w:w="1142" w:type="dxa"/>
          </w:tcPr>
          <w:p w:rsidR="000F571E" w:rsidRPr="000D7795" w:rsidRDefault="000F571E" w:rsidP="00FA631C">
            <w:pPr>
              <w:rPr>
                <w:b/>
                <w:lang w:val="fr-CA"/>
              </w:rPr>
            </w:pPr>
            <w:r w:rsidRPr="000D7795">
              <w:rPr>
                <w:b/>
                <w:lang w:val="fr-CA"/>
              </w:rPr>
              <w:t>2013</w:t>
            </w:r>
          </w:p>
        </w:tc>
        <w:tc>
          <w:tcPr>
            <w:tcW w:w="1270" w:type="dxa"/>
          </w:tcPr>
          <w:p w:rsidR="000F571E" w:rsidRPr="000D7795" w:rsidRDefault="000F571E" w:rsidP="00FA631C">
            <w:pPr>
              <w:rPr>
                <w:b/>
                <w:lang w:val="fr-CA"/>
              </w:rPr>
            </w:pPr>
            <w:r w:rsidRPr="000D7795">
              <w:rPr>
                <w:b/>
                <w:lang w:val="fr-CA"/>
              </w:rPr>
              <w:t>2014</w:t>
            </w:r>
          </w:p>
        </w:tc>
        <w:tc>
          <w:tcPr>
            <w:tcW w:w="1374" w:type="dxa"/>
            <w:shd w:val="clear" w:color="auto" w:fill="BFBFBF" w:themeFill="background1" w:themeFillShade="BF"/>
          </w:tcPr>
          <w:p w:rsidR="000F571E" w:rsidRPr="000D7795" w:rsidRDefault="000F571E" w:rsidP="00FA631C">
            <w:pPr>
              <w:rPr>
                <w:b/>
                <w:lang w:val="fr-CA"/>
              </w:rPr>
            </w:pPr>
            <w:r w:rsidRPr="000D7795">
              <w:rPr>
                <w:b/>
                <w:lang w:val="fr-CA"/>
              </w:rPr>
              <w:t>Total</w:t>
            </w:r>
          </w:p>
        </w:tc>
        <w:tc>
          <w:tcPr>
            <w:tcW w:w="1171" w:type="dxa"/>
          </w:tcPr>
          <w:p w:rsidR="000F571E" w:rsidRPr="000D7795" w:rsidRDefault="000F571E" w:rsidP="00FA631C">
            <w:pPr>
              <w:rPr>
                <w:b/>
                <w:lang w:val="fr-CA"/>
              </w:rPr>
            </w:pPr>
            <w:r w:rsidRPr="000D7795">
              <w:rPr>
                <w:b/>
                <w:lang w:val="fr-CA"/>
              </w:rPr>
              <w:t>%</w:t>
            </w:r>
          </w:p>
        </w:tc>
      </w:tr>
      <w:tr w:rsidR="000F571E" w:rsidTr="00FA631C">
        <w:tc>
          <w:tcPr>
            <w:tcW w:w="1573" w:type="dxa"/>
          </w:tcPr>
          <w:p w:rsidR="000F571E" w:rsidRDefault="000F571E" w:rsidP="00FA631C">
            <w:pPr>
              <w:rPr>
                <w:lang w:val="fr-CA"/>
              </w:rPr>
            </w:pPr>
            <w:r>
              <w:rPr>
                <w:lang w:val="fr-CA"/>
              </w:rPr>
              <w:t>Résultat 1</w:t>
            </w:r>
          </w:p>
        </w:tc>
        <w:tc>
          <w:tcPr>
            <w:tcW w:w="1224" w:type="dxa"/>
          </w:tcPr>
          <w:p w:rsidR="000F571E" w:rsidRDefault="000F571E" w:rsidP="00FA631C">
            <w:pPr>
              <w:rPr>
                <w:lang w:val="fr-CA"/>
              </w:rPr>
            </w:pPr>
          </w:p>
        </w:tc>
        <w:tc>
          <w:tcPr>
            <w:tcW w:w="1308" w:type="dxa"/>
          </w:tcPr>
          <w:p w:rsidR="000F571E" w:rsidRDefault="000F571E" w:rsidP="00FA631C">
            <w:pPr>
              <w:rPr>
                <w:lang w:val="fr-CA"/>
              </w:rPr>
            </w:pPr>
            <w:r>
              <w:rPr>
                <w:lang w:val="fr-CA"/>
              </w:rPr>
              <w:t xml:space="preserve">23 </w:t>
            </w:r>
            <w:r w:rsidRPr="00B13A32">
              <w:rPr>
                <w:lang w:val="fr-CA"/>
              </w:rPr>
              <w:t xml:space="preserve">000  </w:t>
            </w:r>
          </w:p>
        </w:tc>
        <w:tc>
          <w:tcPr>
            <w:tcW w:w="1142" w:type="dxa"/>
          </w:tcPr>
          <w:p w:rsidR="000F571E" w:rsidRDefault="000F571E" w:rsidP="00FA631C">
            <w:pPr>
              <w:rPr>
                <w:lang w:val="fr-CA"/>
              </w:rPr>
            </w:pPr>
            <w:r>
              <w:rPr>
                <w:lang w:val="fr-CA"/>
              </w:rPr>
              <w:t xml:space="preserve">33 </w:t>
            </w:r>
            <w:r w:rsidRPr="00B13A32">
              <w:rPr>
                <w:lang w:val="fr-CA"/>
              </w:rPr>
              <w:t>000</w:t>
            </w:r>
          </w:p>
        </w:tc>
        <w:tc>
          <w:tcPr>
            <w:tcW w:w="1270" w:type="dxa"/>
          </w:tcPr>
          <w:p w:rsidR="000F571E" w:rsidRDefault="000F571E" w:rsidP="00FA631C">
            <w:pPr>
              <w:rPr>
                <w:lang w:val="fr-CA"/>
              </w:rPr>
            </w:pPr>
            <w:r>
              <w:rPr>
                <w:lang w:val="fr-CA"/>
              </w:rPr>
              <w:t xml:space="preserve">31 </w:t>
            </w:r>
            <w:r w:rsidRPr="0064618A">
              <w:rPr>
                <w:lang w:val="fr-CA"/>
              </w:rPr>
              <w:t>000</w:t>
            </w:r>
          </w:p>
        </w:tc>
        <w:tc>
          <w:tcPr>
            <w:tcW w:w="1374" w:type="dxa"/>
            <w:shd w:val="clear" w:color="auto" w:fill="BFBFBF" w:themeFill="background1" w:themeFillShade="BF"/>
          </w:tcPr>
          <w:p w:rsidR="000F571E" w:rsidRDefault="000F571E" w:rsidP="00FA631C">
            <w:pPr>
              <w:rPr>
                <w:lang w:val="fr-CA"/>
              </w:rPr>
            </w:pPr>
            <w:r>
              <w:rPr>
                <w:lang w:val="fr-CA"/>
              </w:rPr>
              <w:t xml:space="preserve">87 </w:t>
            </w:r>
            <w:r w:rsidRPr="00B13A32">
              <w:rPr>
                <w:lang w:val="fr-CA"/>
              </w:rPr>
              <w:t>000</w:t>
            </w:r>
          </w:p>
        </w:tc>
        <w:tc>
          <w:tcPr>
            <w:tcW w:w="1171" w:type="dxa"/>
          </w:tcPr>
          <w:p w:rsidR="000F571E" w:rsidRDefault="000F571E" w:rsidP="00FA631C">
            <w:pPr>
              <w:rPr>
                <w:lang w:val="fr-CA"/>
              </w:rPr>
            </w:pPr>
            <w:r>
              <w:rPr>
                <w:lang w:val="fr-CA"/>
              </w:rPr>
              <w:t>0.19</w:t>
            </w:r>
          </w:p>
        </w:tc>
      </w:tr>
      <w:tr w:rsidR="000F571E" w:rsidTr="00FA631C">
        <w:tc>
          <w:tcPr>
            <w:tcW w:w="1573" w:type="dxa"/>
          </w:tcPr>
          <w:p w:rsidR="000F571E" w:rsidRDefault="000F571E" w:rsidP="00FA631C">
            <w:pPr>
              <w:rPr>
                <w:lang w:val="fr-CA"/>
              </w:rPr>
            </w:pPr>
            <w:r>
              <w:rPr>
                <w:lang w:val="fr-CA"/>
              </w:rPr>
              <w:t>Résultat 2</w:t>
            </w:r>
          </w:p>
        </w:tc>
        <w:tc>
          <w:tcPr>
            <w:tcW w:w="1224" w:type="dxa"/>
          </w:tcPr>
          <w:p w:rsidR="000F571E" w:rsidRDefault="000F571E" w:rsidP="00FA631C">
            <w:pPr>
              <w:rPr>
                <w:lang w:val="fr-CA"/>
              </w:rPr>
            </w:pPr>
          </w:p>
        </w:tc>
        <w:tc>
          <w:tcPr>
            <w:tcW w:w="1308" w:type="dxa"/>
          </w:tcPr>
          <w:p w:rsidR="000F571E" w:rsidRDefault="000F571E" w:rsidP="00FA631C">
            <w:pPr>
              <w:rPr>
                <w:lang w:val="fr-CA"/>
              </w:rPr>
            </w:pPr>
            <w:r>
              <w:rPr>
                <w:lang w:val="fr-CA"/>
              </w:rPr>
              <w:t xml:space="preserve">67 </w:t>
            </w:r>
            <w:r w:rsidRPr="0064618A">
              <w:rPr>
                <w:lang w:val="fr-CA"/>
              </w:rPr>
              <w:t xml:space="preserve">000   </w:t>
            </w:r>
          </w:p>
        </w:tc>
        <w:tc>
          <w:tcPr>
            <w:tcW w:w="1142" w:type="dxa"/>
          </w:tcPr>
          <w:p w:rsidR="000F571E" w:rsidRDefault="000F571E" w:rsidP="00FA631C">
            <w:pPr>
              <w:rPr>
                <w:lang w:val="fr-CA"/>
              </w:rPr>
            </w:pPr>
            <w:r>
              <w:rPr>
                <w:lang w:val="fr-CA"/>
              </w:rPr>
              <w:t xml:space="preserve">67 </w:t>
            </w:r>
            <w:r w:rsidRPr="0064618A">
              <w:rPr>
                <w:lang w:val="fr-CA"/>
              </w:rPr>
              <w:t>000</w:t>
            </w:r>
          </w:p>
        </w:tc>
        <w:tc>
          <w:tcPr>
            <w:tcW w:w="1270" w:type="dxa"/>
          </w:tcPr>
          <w:p w:rsidR="000F571E" w:rsidRDefault="000F571E" w:rsidP="00FA631C">
            <w:pPr>
              <w:rPr>
                <w:lang w:val="fr-CA"/>
              </w:rPr>
            </w:pPr>
            <w:r>
              <w:rPr>
                <w:lang w:val="fr-CA"/>
              </w:rPr>
              <w:t xml:space="preserve">65 </w:t>
            </w:r>
            <w:r w:rsidRPr="0064618A">
              <w:rPr>
                <w:lang w:val="fr-CA"/>
              </w:rPr>
              <w:t>000</w:t>
            </w:r>
          </w:p>
        </w:tc>
        <w:tc>
          <w:tcPr>
            <w:tcW w:w="1374" w:type="dxa"/>
            <w:shd w:val="clear" w:color="auto" w:fill="BFBFBF" w:themeFill="background1" w:themeFillShade="BF"/>
          </w:tcPr>
          <w:p w:rsidR="000F571E" w:rsidRDefault="000F571E" w:rsidP="00FA631C">
            <w:pPr>
              <w:rPr>
                <w:lang w:val="fr-CA"/>
              </w:rPr>
            </w:pPr>
            <w:r>
              <w:rPr>
                <w:lang w:val="fr-CA"/>
              </w:rPr>
              <w:t xml:space="preserve">199 </w:t>
            </w:r>
            <w:r w:rsidRPr="0064618A">
              <w:rPr>
                <w:lang w:val="fr-CA"/>
              </w:rPr>
              <w:t>000</w:t>
            </w:r>
          </w:p>
        </w:tc>
        <w:tc>
          <w:tcPr>
            <w:tcW w:w="1171" w:type="dxa"/>
          </w:tcPr>
          <w:p w:rsidR="000F571E" w:rsidRDefault="000F571E" w:rsidP="00FA631C">
            <w:pPr>
              <w:rPr>
                <w:lang w:val="fr-CA"/>
              </w:rPr>
            </w:pPr>
            <w:r>
              <w:rPr>
                <w:lang w:val="fr-CA"/>
              </w:rPr>
              <w:t>0.43</w:t>
            </w:r>
          </w:p>
        </w:tc>
      </w:tr>
      <w:tr w:rsidR="000F571E" w:rsidTr="00FA631C">
        <w:tc>
          <w:tcPr>
            <w:tcW w:w="1573" w:type="dxa"/>
          </w:tcPr>
          <w:p w:rsidR="000F571E" w:rsidRDefault="000F571E" w:rsidP="00FA631C">
            <w:pPr>
              <w:rPr>
                <w:lang w:val="fr-CA"/>
              </w:rPr>
            </w:pPr>
            <w:r>
              <w:rPr>
                <w:lang w:val="fr-CA"/>
              </w:rPr>
              <w:t>Résultat 3</w:t>
            </w:r>
          </w:p>
        </w:tc>
        <w:tc>
          <w:tcPr>
            <w:tcW w:w="1224" w:type="dxa"/>
          </w:tcPr>
          <w:p w:rsidR="000F571E" w:rsidRDefault="000F571E" w:rsidP="00FA631C">
            <w:pPr>
              <w:rPr>
                <w:lang w:val="fr-CA"/>
              </w:rPr>
            </w:pPr>
          </w:p>
        </w:tc>
        <w:tc>
          <w:tcPr>
            <w:tcW w:w="1308" w:type="dxa"/>
          </w:tcPr>
          <w:p w:rsidR="000F571E" w:rsidRDefault="000F571E" w:rsidP="00FA631C">
            <w:pPr>
              <w:rPr>
                <w:lang w:val="fr-CA"/>
              </w:rPr>
            </w:pPr>
            <w:r>
              <w:rPr>
                <w:lang w:val="fr-CA"/>
              </w:rPr>
              <w:t xml:space="preserve">40 </w:t>
            </w:r>
            <w:r w:rsidRPr="006C63F4">
              <w:rPr>
                <w:lang w:val="fr-CA"/>
              </w:rPr>
              <w:t xml:space="preserve">000   </w:t>
            </w:r>
          </w:p>
        </w:tc>
        <w:tc>
          <w:tcPr>
            <w:tcW w:w="1142" w:type="dxa"/>
          </w:tcPr>
          <w:p w:rsidR="000F571E" w:rsidRDefault="000F571E" w:rsidP="00FA631C">
            <w:pPr>
              <w:rPr>
                <w:lang w:val="fr-CA"/>
              </w:rPr>
            </w:pPr>
            <w:r>
              <w:rPr>
                <w:lang w:val="fr-CA"/>
              </w:rPr>
              <w:t xml:space="preserve">42 </w:t>
            </w:r>
            <w:r w:rsidRPr="006C63F4">
              <w:rPr>
                <w:lang w:val="fr-CA"/>
              </w:rPr>
              <w:t>000</w:t>
            </w:r>
          </w:p>
        </w:tc>
        <w:tc>
          <w:tcPr>
            <w:tcW w:w="1270" w:type="dxa"/>
          </w:tcPr>
          <w:p w:rsidR="000F571E" w:rsidRDefault="000F571E" w:rsidP="00FA631C">
            <w:pPr>
              <w:rPr>
                <w:lang w:val="fr-CA"/>
              </w:rPr>
            </w:pPr>
            <w:r>
              <w:rPr>
                <w:lang w:val="fr-CA"/>
              </w:rPr>
              <w:t xml:space="preserve">44 </w:t>
            </w:r>
            <w:r w:rsidRPr="006C63F4">
              <w:rPr>
                <w:lang w:val="fr-CA"/>
              </w:rPr>
              <w:t>000</w:t>
            </w:r>
          </w:p>
        </w:tc>
        <w:tc>
          <w:tcPr>
            <w:tcW w:w="1374" w:type="dxa"/>
            <w:shd w:val="clear" w:color="auto" w:fill="BFBFBF" w:themeFill="background1" w:themeFillShade="BF"/>
          </w:tcPr>
          <w:p w:rsidR="000F571E" w:rsidRDefault="000F571E" w:rsidP="00FA631C">
            <w:pPr>
              <w:rPr>
                <w:lang w:val="fr-CA"/>
              </w:rPr>
            </w:pPr>
            <w:r>
              <w:rPr>
                <w:lang w:val="fr-CA"/>
              </w:rPr>
              <w:t xml:space="preserve">126 </w:t>
            </w:r>
            <w:r w:rsidRPr="006C63F4">
              <w:rPr>
                <w:lang w:val="fr-CA"/>
              </w:rPr>
              <w:t>000</w:t>
            </w:r>
          </w:p>
        </w:tc>
        <w:tc>
          <w:tcPr>
            <w:tcW w:w="1171" w:type="dxa"/>
          </w:tcPr>
          <w:p w:rsidR="000F571E" w:rsidRDefault="000F571E" w:rsidP="00FA631C">
            <w:pPr>
              <w:rPr>
                <w:lang w:val="fr-CA"/>
              </w:rPr>
            </w:pPr>
            <w:r>
              <w:rPr>
                <w:lang w:val="fr-CA"/>
              </w:rPr>
              <w:t>0.27</w:t>
            </w:r>
          </w:p>
        </w:tc>
      </w:tr>
      <w:tr w:rsidR="000F571E" w:rsidTr="00FA631C">
        <w:tc>
          <w:tcPr>
            <w:tcW w:w="1573" w:type="dxa"/>
          </w:tcPr>
          <w:p w:rsidR="000F571E" w:rsidRDefault="000F571E" w:rsidP="00FA631C">
            <w:pPr>
              <w:rPr>
                <w:lang w:val="fr-CA"/>
              </w:rPr>
            </w:pPr>
            <w:r>
              <w:rPr>
                <w:lang w:val="fr-CA"/>
              </w:rPr>
              <w:t>Gestion du projet</w:t>
            </w:r>
          </w:p>
        </w:tc>
        <w:tc>
          <w:tcPr>
            <w:tcW w:w="1224" w:type="dxa"/>
          </w:tcPr>
          <w:p w:rsidR="000F571E" w:rsidRDefault="000F571E" w:rsidP="00FA631C">
            <w:pPr>
              <w:rPr>
                <w:lang w:val="fr-CA"/>
              </w:rPr>
            </w:pPr>
            <w:r>
              <w:rPr>
                <w:lang w:val="fr-CA"/>
              </w:rPr>
              <w:t xml:space="preserve">9 </w:t>
            </w:r>
            <w:r w:rsidRPr="0091686F">
              <w:rPr>
                <w:lang w:val="fr-CA"/>
              </w:rPr>
              <w:t xml:space="preserve">000    </w:t>
            </w:r>
          </w:p>
        </w:tc>
        <w:tc>
          <w:tcPr>
            <w:tcW w:w="1308" w:type="dxa"/>
          </w:tcPr>
          <w:p w:rsidR="000F571E" w:rsidRPr="006C63F4" w:rsidRDefault="000F571E" w:rsidP="00FA631C">
            <w:pPr>
              <w:rPr>
                <w:lang w:val="fr-CA"/>
              </w:rPr>
            </w:pPr>
            <w:r w:rsidRPr="0091686F">
              <w:rPr>
                <w:lang w:val="fr-CA"/>
              </w:rPr>
              <w:t>13000</w:t>
            </w:r>
          </w:p>
        </w:tc>
        <w:tc>
          <w:tcPr>
            <w:tcW w:w="1142" w:type="dxa"/>
          </w:tcPr>
          <w:p w:rsidR="000F571E" w:rsidRPr="006C63F4" w:rsidRDefault="000F571E" w:rsidP="00FA631C">
            <w:pPr>
              <w:rPr>
                <w:lang w:val="fr-CA"/>
              </w:rPr>
            </w:pPr>
            <w:r>
              <w:rPr>
                <w:lang w:val="fr-CA"/>
              </w:rPr>
              <w:t xml:space="preserve">13 </w:t>
            </w:r>
            <w:r w:rsidRPr="0091686F">
              <w:rPr>
                <w:lang w:val="fr-CA"/>
              </w:rPr>
              <w:t>000</w:t>
            </w:r>
          </w:p>
        </w:tc>
        <w:tc>
          <w:tcPr>
            <w:tcW w:w="1270" w:type="dxa"/>
          </w:tcPr>
          <w:p w:rsidR="000F571E" w:rsidRPr="006C63F4" w:rsidRDefault="000F571E" w:rsidP="00FA631C">
            <w:pPr>
              <w:rPr>
                <w:lang w:val="fr-CA"/>
              </w:rPr>
            </w:pPr>
            <w:r>
              <w:rPr>
                <w:lang w:val="fr-CA"/>
              </w:rPr>
              <w:t xml:space="preserve">13 </w:t>
            </w:r>
            <w:r w:rsidRPr="0091686F">
              <w:rPr>
                <w:lang w:val="fr-CA"/>
              </w:rPr>
              <w:t>000</w:t>
            </w:r>
          </w:p>
        </w:tc>
        <w:tc>
          <w:tcPr>
            <w:tcW w:w="1374" w:type="dxa"/>
            <w:shd w:val="clear" w:color="auto" w:fill="BFBFBF" w:themeFill="background1" w:themeFillShade="BF"/>
          </w:tcPr>
          <w:p w:rsidR="000F571E" w:rsidRPr="006C63F4" w:rsidRDefault="000F571E" w:rsidP="00FA631C">
            <w:pPr>
              <w:rPr>
                <w:lang w:val="fr-CA"/>
              </w:rPr>
            </w:pPr>
            <w:r>
              <w:rPr>
                <w:lang w:val="fr-CA"/>
              </w:rPr>
              <w:t xml:space="preserve">48 </w:t>
            </w:r>
            <w:r w:rsidRPr="0091686F">
              <w:rPr>
                <w:lang w:val="fr-CA"/>
              </w:rPr>
              <w:t>000</w:t>
            </w:r>
          </w:p>
        </w:tc>
        <w:tc>
          <w:tcPr>
            <w:tcW w:w="1171" w:type="dxa"/>
          </w:tcPr>
          <w:p w:rsidR="000F571E" w:rsidRDefault="000F571E" w:rsidP="00FA631C">
            <w:pPr>
              <w:rPr>
                <w:lang w:val="fr-CA"/>
              </w:rPr>
            </w:pPr>
            <w:r>
              <w:rPr>
                <w:lang w:val="fr-CA"/>
              </w:rPr>
              <w:t>0.11</w:t>
            </w:r>
          </w:p>
        </w:tc>
      </w:tr>
      <w:tr w:rsidR="000F571E" w:rsidTr="00FA631C">
        <w:tc>
          <w:tcPr>
            <w:tcW w:w="1573" w:type="dxa"/>
          </w:tcPr>
          <w:p w:rsidR="000F571E" w:rsidRDefault="000F571E" w:rsidP="00FA631C">
            <w:pPr>
              <w:jc w:val="center"/>
              <w:rPr>
                <w:b/>
                <w:lang w:val="fr-CA"/>
              </w:rPr>
            </w:pPr>
            <w:r>
              <w:rPr>
                <w:b/>
                <w:lang w:val="fr-CA"/>
              </w:rPr>
              <w:t>Total FEM</w:t>
            </w:r>
          </w:p>
        </w:tc>
        <w:tc>
          <w:tcPr>
            <w:tcW w:w="1224" w:type="dxa"/>
          </w:tcPr>
          <w:p w:rsidR="000F571E" w:rsidRPr="001F0900" w:rsidRDefault="000F571E" w:rsidP="00FA631C">
            <w:pPr>
              <w:jc w:val="center"/>
              <w:rPr>
                <w:b/>
                <w:lang w:val="fr-CA"/>
              </w:rPr>
            </w:pPr>
            <w:r>
              <w:rPr>
                <w:b/>
                <w:lang w:val="fr-CA"/>
              </w:rPr>
              <w:t>9 000</w:t>
            </w:r>
          </w:p>
        </w:tc>
        <w:tc>
          <w:tcPr>
            <w:tcW w:w="1308" w:type="dxa"/>
          </w:tcPr>
          <w:p w:rsidR="000F571E" w:rsidRPr="001F0900" w:rsidRDefault="000F571E" w:rsidP="00FA631C">
            <w:pPr>
              <w:jc w:val="center"/>
              <w:rPr>
                <w:b/>
                <w:lang w:val="fr-CA"/>
              </w:rPr>
            </w:pPr>
            <w:r>
              <w:rPr>
                <w:b/>
                <w:lang w:val="fr-CA"/>
              </w:rPr>
              <w:t>143 000</w:t>
            </w:r>
          </w:p>
        </w:tc>
        <w:tc>
          <w:tcPr>
            <w:tcW w:w="1142" w:type="dxa"/>
          </w:tcPr>
          <w:p w:rsidR="000F571E" w:rsidRPr="001F0900" w:rsidRDefault="000F571E" w:rsidP="00FA631C">
            <w:pPr>
              <w:jc w:val="center"/>
              <w:rPr>
                <w:b/>
                <w:lang w:val="fr-CA"/>
              </w:rPr>
            </w:pPr>
            <w:r>
              <w:rPr>
                <w:b/>
                <w:lang w:val="fr-CA"/>
              </w:rPr>
              <w:t>155 000</w:t>
            </w:r>
          </w:p>
        </w:tc>
        <w:tc>
          <w:tcPr>
            <w:tcW w:w="1270" w:type="dxa"/>
          </w:tcPr>
          <w:p w:rsidR="000F571E" w:rsidRPr="001F0900" w:rsidRDefault="000F571E" w:rsidP="00FA631C">
            <w:pPr>
              <w:jc w:val="center"/>
              <w:rPr>
                <w:b/>
                <w:lang w:val="fr-CA"/>
              </w:rPr>
            </w:pPr>
            <w:r>
              <w:rPr>
                <w:b/>
                <w:lang w:val="fr-CA"/>
              </w:rPr>
              <w:t>153 000</w:t>
            </w:r>
          </w:p>
        </w:tc>
        <w:tc>
          <w:tcPr>
            <w:tcW w:w="1374" w:type="dxa"/>
            <w:shd w:val="clear" w:color="auto" w:fill="BFBFBF" w:themeFill="background1" w:themeFillShade="BF"/>
          </w:tcPr>
          <w:p w:rsidR="000F571E" w:rsidRPr="001F0900" w:rsidRDefault="000F571E" w:rsidP="00FA631C">
            <w:pPr>
              <w:jc w:val="center"/>
              <w:rPr>
                <w:b/>
                <w:lang w:val="fr-CA"/>
              </w:rPr>
            </w:pPr>
            <w:r>
              <w:rPr>
                <w:b/>
                <w:lang w:val="fr-CA"/>
              </w:rPr>
              <w:t>460 000</w:t>
            </w:r>
          </w:p>
        </w:tc>
        <w:tc>
          <w:tcPr>
            <w:tcW w:w="1171" w:type="dxa"/>
          </w:tcPr>
          <w:p w:rsidR="000F571E" w:rsidRPr="001F0900" w:rsidRDefault="000F571E" w:rsidP="00FA631C">
            <w:pPr>
              <w:jc w:val="center"/>
              <w:rPr>
                <w:b/>
                <w:lang w:val="fr-CA"/>
              </w:rPr>
            </w:pPr>
          </w:p>
        </w:tc>
      </w:tr>
      <w:tr w:rsidR="000F571E" w:rsidTr="00FA631C">
        <w:tc>
          <w:tcPr>
            <w:tcW w:w="9062" w:type="dxa"/>
            <w:gridSpan w:val="7"/>
            <w:shd w:val="clear" w:color="auto" w:fill="BFBFBF" w:themeFill="background1" w:themeFillShade="BF"/>
          </w:tcPr>
          <w:p w:rsidR="000F571E" w:rsidRPr="001F0900" w:rsidRDefault="000F571E" w:rsidP="00FA631C">
            <w:pPr>
              <w:jc w:val="center"/>
              <w:rPr>
                <w:b/>
                <w:lang w:val="fr-CA"/>
              </w:rPr>
            </w:pPr>
            <w:r>
              <w:rPr>
                <w:b/>
                <w:lang w:val="fr-CA"/>
              </w:rPr>
              <w:t>Co-financement</w:t>
            </w:r>
          </w:p>
        </w:tc>
      </w:tr>
      <w:tr w:rsidR="000F571E" w:rsidTr="00FA631C">
        <w:tc>
          <w:tcPr>
            <w:tcW w:w="9062" w:type="dxa"/>
            <w:gridSpan w:val="7"/>
          </w:tcPr>
          <w:p w:rsidR="000F571E" w:rsidRPr="006C63F4" w:rsidRDefault="000F571E" w:rsidP="00FA631C">
            <w:pPr>
              <w:rPr>
                <w:b/>
                <w:lang w:val="fr-CA"/>
              </w:rPr>
            </w:pPr>
            <w:r w:rsidRPr="006C63F4">
              <w:rPr>
                <w:b/>
                <w:lang w:val="fr-CA"/>
              </w:rPr>
              <w:t>Gouvernement en espèces</w:t>
            </w:r>
          </w:p>
        </w:tc>
      </w:tr>
      <w:tr w:rsidR="000F571E" w:rsidTr="00FA631C">
        <w:tc>
          <w:tcPr>
            <w:tcW w:w="1573" w:type="dxa"/>
          </w:tcPr>
          <w:p w:rsidR="000F571E" w:rsidRDefault="000F571E" w:rsidP="00FA631C">
            <w:pPr>
              <w:rPr>
                <w:lang w:val="fr-CA"/>
              </w:rPr>
            </w:pPr>
            <w:r>
              <w:rPr>
                <w:lang w:val="fr-CA"/>
              </w:rPr>
              <w:t>Résultat 1</w:t>
            </w:r>
          </w:p>
        </w:tc>
        <w:tc>
          <w:tcPr>
            <w:tcW w:w="1224" w:type="dxa"/>
          </w:tcPr>
          <w:p w:rsidR="000F571E" w:rsidRDefault="000F571E" w:rsidP="00FA631C">
            <w:pPr>
              <w:rPr>
                <w:lang w:val="fr-CA"/>
              </w:rPr>
            </w:pPr>
          </w:p>
        </w:tc>
        <w:tc>
          <w:tcPr>
            <w:tcW w:w="1308" w:type="dxa"/>
          </w:tcPr>
          <w:p w:rsidR="000F571E" w:rsidRDefault="000F571E" w:rsidP="00FA631C">
            <w:pPr>
              <w:rPr>
                <w:lang w:val="fr-CA"/>
              </w:rPr>
            </w:pPr>
            <w:r>
              <w:rPr>
                <w:lang w:val="fr-CA"/>
              </w:rPr>
              <w:t xml:space="preserve">26 </w:t>
            </w:r>
            <w:r w:rsidRPr="0064618A">
              <w:rPr>
                <w:lang w:val="fr-CA"/>
              </w:rPr>
              <w:t xml:space="preserve">000 </w:t>
            </w:r>
          </w:p>
        </w:tc>
        <w:tc>
          <w:tcPr>
            <w:tcW w:w="1142" w:type="dxa"/>
          </w:tcPr>
          <w:p w:rsidR="000F571E" w:rsidRDefault="000F571E" w:rsidP="00FA631C">
            <w:pPr>
              <w:rPr>
                <w:lang w:val="fr-CA"/>
              </w:rPr>
            </w:pPr>
            <w:r>
              <w:rPr>
                <w:lang w:val="fr-CA"/>
              </w:rPr>
              <w:t xml:space="preserve">26 </w:t>
            </w:r>
            <w:r w:rsidRPr="0064618A">
              <w:rPr>
                <w:lang w:val="fr-CA"/>
              </w:rPr>
              <w:t>000</w:t>
            </w:r>
          </w:p>
        </w:tc>
        <w:tc>
          <w:tcPr>
            <w:tcW w:w="1270" w:type="dxa"/>
          </w:tcPr>
          <w:p w:rsidR="000F571E" w:rsidRDefault="000F571E" w:rsidP="00FA631C">
            <w:pPr>
              <w:rPr>
                <w:lang w:val="fr-CA"/>
              </w:rPr>
            </w:pPr>
          </w:p>
        </w:tc>
        <w:tc>
          <w:tcPr>
            <w:tcW w:w="1374" w:type="dxa"/>
            <w:shd w:val="clear" w:color="auto" w:fill="BFBFBF" w:themeFill="background1" w:themeFillShade="BF"/>
          </w:tcPr>
          <w:p w:rsidR="000F571E" w:rsidRDefault="000F571E" w:rsidP="00FA631C">
            <w:pPr>
              <w:rPr>
                <w:lang w:val="fr-CA"/>
              </w:rPr>
            </w:pPr>
            <w:r>
              <w:rPr>
                <w:lang w:val="fr-CA"/>
              </w:rPr>
              <w:t xml:space="preserve">52 </w:t>
            </w:r>
            <w:r w:rsidRPr="0064618A">
              <w:rPr>
                <w:lang w:val="fr-CA"/>
              </w:rPr>
              <w:t>000</w:t>
            </w:r>
          </w:p>
        </w:tc>
        <w:tc>
          <w:tcPr>
            <w:tcW w:w="1171" w:type="dxa"/>
          </w:tcPr>
          <w:p w:rsidR="000F571E" w:rsidRDefault="000F571E" w:rsidP="00FA631C">
            <w:pPr>
              <w:rPr>
                <w:lang w:val="fr-CA"/>
              </w:rPr>
            </w:pPr>
            <w:r>
              <w:rPr>
                <w:lang w:val="fr-CA"/>
              </w:rPr>
              <w:t>0.41</w:t>
            </w:r>
          </w:p>
        </w:tc>
      </w:tr>
      <w:tr w:rsidR="000F571E" w:rsidTr="00FA631C">
        <w:tc>
          <w:tcPr>
            <w:tcW w:w="1573" w:type="dxa"/>
          </w:tcPr>
          <w:p w:rsidR="000F571E" w:rsidRDefault="000F571E" w:rsidP="00FA631C">
            <w:pPr>
              <w:rPr>
                <w:lang w:val="fr-CA"/>
              </w:rPr>
            </w:pPr>
            <w:r>
              <w:rPr>
                <w:lang w:val="fr-CA"/>
              </w:rPr>
              <w:t>Résultat 2</w:t>
            </w:r>
          </w:p>
        </w:tc>
        <w:tc>
          <w:tcPr>
            <w:tcW w:w="1224" w:type="dxa"/>
          </w:tcPr>
          <w:p w:rsidR="000F571E" w:rsidRDefault="000F571E" w:rsidP="00FA631C">
            <w:pPr>
              <w:rPr>
                <w:lang w:val="fr-CA"/>
              </w:rPr>
            </w:pPr>
          </w:p>
        </w:tc>
        <w:tc>
          <w:tcPr>
            <w:tcW w:w="1308" w:type="dxa"/>
          </w:tcPr>
          <w:p w:rsidR="000F571E" w:rsidRPr="0064618A" w:rsidRDefault="000F571E" w:rsidP="00FA631C">
            <w:pPr>
              <w:rPr>
                <w:lang w:val="fr-CA"/>
              </w:rPr>
            </w:pPr>
            <w:r>
              <w:rPr>
                <w:lang w:val="fr-CA"/>
              </w:rPr>
              <w:t xml:space="preserve">24 </w:t>
            </w:r>
            <w:r w:rsidRPr="006C63F4">
              <w:rPr>
                <w:lang w:val="fr-CA"/>
              </w:rPr>
              <w:t xml:space="preserve">000  </w:t>
            </w:r>
          </w:p>
        </w:tc>
        <w:tc>
          <w:tcPr>
            <w:tcW w:w="1142" w:type="dxa"/>
          </w:tcPr>
          <w:p w:rsidR="000F571E" w:rsidRDefault="000F571E" w:rsidP="00FA631C">
            <w:pPr>
              <w:rPr>
                <w:lang w:val="fr-CA"/>
              </w:rPr>
            </w:pPr>
            <w:r>
              <w:rPr>
                <w:lang w:val="fr-CA"/>
              </w:rPr>
              <w:t xml:space="preserve">24 </w:t>
            </w:r>
            <w:r w:rsidRPr="006C63F4">
              <w:rPr>
                <w:lang w:val="fr-CA"/>
              </w:rPr>
              <w:t>000</w:t>
            </w:r>
          </w:p>
        </w:tc>
        <w:tc>
          <w:tcPr>
            <w:tcW w:w="1270" w:type="dxa"/>
          </w:tcPr>
          <w:p w:rsidR="000F571E" w:rsidRPr="0064618A" w:rsidRDefault="000F571E" w:rsidP="00FA631C">
            <w:pPr>
              <w:rPr>
                <w:lang w:val="fr-CA"/>
              </w:rPr>
            </w:pPr>
          </w:p>
        </w:tc>
        <w:tc>
          <w:tcPr>
            <w:tcW w:w="1374" w:type="dxa"/>
            <w:shd w:val="clear" w:color="auto" w:fill="BFBFBF" w:themeFill="background1" w:themeFillShade="BF"/>
          </w:tcPr>
          <w:p w:rsidR="000F571E" w:rsidRPr="0064618A" w:rsidRDefault="000F571E" w:rsidP="00FA631C">
            <w:pPr>
              <w:rPr>
                <w:lang w:val="fr-CA"/>
              </w:rPr>
            </w:pPr>
            <w:r>
              <w:rPr>
                <w:lang w:val="fr-CA"/>
              </w:rPr>
              <w:t xml:space="preserve">48 </w:t>
            </w:r>
            <w:r w:rsidRPr="006C63F4">
              <w:rPr>
                <w:lang w:val="fr-CA"/>
              </w:rPr>
              <w:t>000</w:t>
            </w:r>
          </w:p>
        </w:tc>
        <w:tc>
          <w:tcPr>
            <w:tcW w:w="1171" w:type="dxa"/>
          </w:tcPr>
          <w:p w:rsidR="000F571E" w:rsidRDefault="000F571E" w:rsidP="00FA631C">
            <w:pPr>
              <w:rPr>
                <w:lang w:val="fr-CA"/>
              </w:rPr>
            </w:pPr>
            <w:r>
              <w:rPr>
                <w:lang w:val="fr-CA"/>
              </w:rPr>
              <w:t>0.38</w:t>
            </w:r>
          </w:p>
        </w:tc>
      </w:tr>
      <w:tr w:rsidR="000F571E" w:rsidTr="00FA631C">
        <w:tc>
          <w:tcPr>
            <w:tcW w:w="1573" w:type="dxa"/>
          </w:tcPr>
          <w:p w:rsidR="000F571E" w:rsidRDefault="000F571E" w:rsidP="00FA631C">
            <w:pPr>
              <w:rPr>
                <w:lang w:val="fr-CA"/>
              </w:rPr>
            </w:pPr>
            <w:r>
              <w:rPr>
                <w:lang w:val="fr-CA"/>
              </w:rPr>
              <w:t>Résultat 3</w:t>
            </w:r>
          </w:p>
        </w:tc>
        <w:tc>
          <w:tcPr>
            <w:tcW w:w="1224" w:type="dxa"/>
          </w:tcPr>
          <w:p w:rsidR="000F571E" w:rsidRDefault="000F571E" w:rsidP="00FA631C">
            <w:pPr>
              <w:rPr>
                <w:lang w:val="fr-CA"/>
              </w:rPr>
            </w:pPr>
          </w:p>
        </w:tc>
        <w:tc>
          <w:tcPr>
            <w:tcW w:w="1308" w:type="dxa"/>
          </w:tcPr>
          <w:p w:rsidR="000F571E" w:rsidRPr="0064618A" w:rsidRDefault="000F571E" w:rsidP="00FA631C">
            <w:pPr>
              <w:rPr>
                <w:lang w:val="fr-CA"/>
              </w:rPr>
            </w:pPr>
            <w:r>
              <w:rPr>
                <w:lang w:val="fr-CA"/>
              </w:rPr>
              <w:t xml:space="preserve">9 </w:t>
            </w:r>
            <w:r w:rsidRPr="00D96DE7">
              <w:rPr>
                <w:lang w:val="fr-CA"/>
              </w:rPr>
              <w:t xml:space="preserve">000   </w:t>
            </w:r>
          </w:p>
        </w:tc>
        <w:tc>
          <w:tcPr>
            <w:tcW w:w="1142" w:type="dxa"/>
          </w:tcPr>
          <w:p w:rsidR="000F571E" w:rsidRDefault="000F571E" w:rsidP="00FA631C">
            <w:pPr>
              <w:rPr>
                <w:lang w:val="fr-CA"/>
              </w:rPr>
            </w:pPr>
            <w:r>
              <w:rPr>
                <w:lang w:val="fr-CA"/>
              </w:rPr>
              <w:t xml:space="preserve">8 </w:t>
            </w:r>
            <w:r w:rsidRPr="00D96DE7">
              <w:rPr>
                <w:lang w:val="fr-CA"/>
              </w:rPr>
              <w:t>950</w:t>
            </w:r>
          </w:p>
        </w:tc>
        <w:tc>
          <w:tcPr>
            <w:tcW w:w="1270" w:type="dxa"/>
          </w:tcPr>
          <w:p w:rsidR="000F571E" w:rsidRPr="0064618A" w:rsidRDefault="000F571E" w:rsidP="00FA631C">
            <w:pPr>
              <w:rPr>
                <w:lang w:val="fr-CA"/>
              </w:rPr>
            </w:pPr>
            <w:r>
              <w:rPr>
                <w:lang w:val="fr-CA"/>
              </w:rPr>
              <w:t xml:space="preserve">8 </w:t>
            </w:r>
            <w:r w:rsidRPr="00D96DE7">
              <w:rPr>
                <w:lang w:val="fr-CA"/>
              </w:rPr>
              <w:t>950</w:t>
            </w:r>
          </w:p>
        </w:tc>
        <w:tc>
          <w:tcPr>
            <w:tcW w:w="1374" w:type="dxa"/>
            <w:shd w:val="clear" w:color="auto" w:fill="BFBFBF" w:themeFill="background1" w:themeFillShade="BF"/>
          </w:tcPr>
          <w:p w:rsidR="000F571E" w:rsidRPr="0064618A" w:rsidRDefault="000F571E" w:rsidP="00FA631C">
            <w:pPr>
              <w:rPr>
                <w:lang w:val="fr-CA"/>
              </w:rPr>
            </w:pPr>
            <w:r>
              <w:rPr>
                <w:lang w:val="fr-CA"/>
              </w:rPr>
              <w:t xml:space="preserve">26 </w:t>
            </w:r>
            <w:r w:rsidRPr="00D96DE7">
              <w:rPr>
                <w:lang w:val="fr-CA"/>
              </w:rPr>
              <w:t>900</w:t>
            </w:r>
          </w:p>
        </w:tc>
        <w:tc>
          <w:tcPr>
            <w:tcW w:w="1171" w:type="dxa"/>
          </w:tcPr>
          <w:p w:rsidR="000F571E" w:rsidRDefault="000F571E" w:rsidP="00FA631C">
            <w:pPr>
              <w:rPr>
                <w:lang w:val="fr-CA"/>
              </w:rPr>
            </w:pPr>
            <w:r>
              <w:rPr>
                <w:lang w:val="fr-CA"/>
              </w:rPr>
              <w:t>0.21</w:t>
            </w:r>
          </w:p>
        </w:tc>
      </w:tr>
      <w:tr w:rsidR="000F571E" w:rsidTr="00FA631C">
        <w:tc>
          <w:tcPr>
            <w:tcW w:w="1573" w:type="dxa"/>
          </w:tcPr>
          <w:p w:rsidR="000F571E" w:rsidRDefault="000F571E" w:rsidP="00FA631C">
            <w:pPr>
              <w:rPr>
                <w:lang w:val="fr-CA"/>
              </w:rPr>
            </w:pPr>
            <w:r>
              <w:rPr>
                <w:lang w:val="fr-CA"/>
              </w:rPr>
              <w:t>Total</w:t>
            </w:r>
          </w:p>
        </w:tc>
        <w:tc>
          <w:tcPr>
            <w:tcW w:w="1224" w:type="dxa"/>
          </w:tcPr>
          <w:p w:rsidR="000F571E" w:rsidRDefault="000F571E" w:rsidP="00FA631C">
            <w:pPr>
              <w:rPr>
                <w:lang w:val="fr-CA"/>
              </w:rPr>
            </w:pPr>
          </w:p>
        </w:tc>
        <w:tc>
          <w:tcPr>
            <w:tcW w:w="1308" w:type="dxa"/>
          </w:tcPr>
          <w:p w:rsidR="000F571E" w:rsidRPr="005759FC" w:rsidRDefault="000F571E" w:rsidP="00FA631C">
            <w:pPr>
              <w:rPr>
                <w:b/>
                <w:lang w:val="fr-CA"/>
              </w:rPr>
            </w:pPr>
            <w:r w:rsidRPr="005759FC">
              <w:rPr>
                <w:b/>
                <w:lang w:val="fr-CA"/>
              </w:rPr>
              <w:t>59 000</w:t>
            </w:r>
          </w:p>
        </w:tc>
        <w:tc>
          <w:tcPr>
            <w:tcW w:w="1142" w:type="dxa"/>
          </w:tcPr>
          <w:p w:rsidR="000F571E" w:rsidRPr="005759FC" w:rsidRDefault="000F571E" w:rsidP="00FA631C">
            <w:pPr>
              <w:rPr>
                <w:b/>
                <w:lang w:val="fr-CA"/>
              </w:rPr>
            </w:pPr>
            <w:r w:rsidRPr="005759FC">
              <w:rPr>
                <w:b/>
                <w:lang w:val="fr-CA"/>
              </w:rPr>
              <w:t>58 950</w:t>
            </w:r>
          </w:p>
        </w:tc>
        <w:tc>
          <w:tcPr>
            <w:tcW w:w="1270" w:type="dxa"/>
          </w:tcPr>
          <w:p w:rsidR="000F571E" w:rsidRPr="005759FC" w:rsidRDefault="000F571E" w:rsidP="00FA631C">
            <w:pPr>
              <w:rPr>
                <w:b/>
                <w:lang w:val="fr-CA"/>
              </w:rPr>
            </w:pPr>
            <w:r w:rsidRPr="005759FC">
              <w:rPr>
                <w:b/>
                <w:lang w:val="fr-CA"/>
              </w:rPr>
              <w:t>8 950</w:t>
            </w:r>
          </w:p>
        </w:tc>
        <w:tc>
          <w:tcPr>
            <w:tcW w:w="1374" w:type="dxa"/>
            <w:shd w:val="clear" w:color="auto" w:fill="BFBFBF" w:themeFill="background1" w:themeFillShade="BF"/>
          </w:tcPr>
          <w:p w:rsidR="000F571E" w:rsidRPr="005759FC" w:rsidRDefault="000F571E" w:rsidP="00FA631C">
            <w:pPr>
              <w:rPr>
                <w:b/>
                <w:lang w:val="fr-CA"/>
              </w:rPr>
            </w:pPr>
            <w:r>
              <w:rPr>
                <w:b/>
                <w:lang w:val="fr-CA"/>
              </w:rPr>
              <w:t>126 9</w:t>
            </w:r>
            <w:r w:rsidRPr="005759FC">
              <w:rPr>
                <w:b/>
                <w:lang w:val="fr-CA"/>
              </w:rPr>
              <w:t>00</w:t>
            </w:r>
          </w:p>
        </w:tc>
        <w:tc>
          <w:tcPr>
            <w:tcW w:w="1171" w:type="dxa"/>
          </w:tcPr>
          <w:p w:rsidR="000F571E" w:rsidRDefault="000F571E" w:rsidP="00FA631C">
            <w:pPr>
              <w:rPr>
                <w:lang w:val="fr-CA"/>
              </w:rPr>
            </w:pPr>
          </w:p>
        </w:tc>
      </w:tr>
      <w:tr w:rsidR="000F571E" w:rsidTr="00FA631C">
        <w:tc>
          <w:tcPr>
            <w:tcW w:w="9062" w:type="dxa"/>
            <w:gridSpan w:val="7"/>
          </w:tcPr>
          <w:p w:rsidR="000F571E" w:rsidRPr="006C63F4" w:rsidRDefault="000F571E" w:rsidP="00FA631C">
            <w:pPr>
              <w:rPr>
                <w:b/>
                <w:lang w:val="fr-CA"/>
              </w:rPr>
            </w:pPr>
            <w:r w:rsidRPr="006C63F4">
              <w:rPr>
                <w:b/>
                <w:lang w:val="fr-CA"/>
              </w:rPr>
              <w:t>Gouvernement en nature</w:t>
            </w:r>
          </w:p>
        </w:tc>
      </w:tr>
      <w:tr w:rsidR="000F571E" w:rsidTr="00FA631C">
        <w:tc>
          <w:tcPr>
            <w:tcW w:w="1573" w:type="dxa"/>
          </w:tcPr>
          <w:p w:rsidR="000F571E" w:rsidRDefault="000F571E" w:rsidP="00FA631C">
            <w:pPr>
              <w:rPr>
                <w:lang w:val="fr-CA"/>
              </w:rPr>
            </w:pPr>
            <w:r>
              <w:rPr>
                <w:lang w:val="fr-CA"/>
              </w:rPr>
              <w:t>Total</w:t>
            </w:r>
          </w:p>
        </w:tc>
        <w:tc>
          <w:tcPr>
            <w:tcW w:w="6318" w:type="dxa"/>
            <w:gridSpan w:val="5"/>
          </w:tcPr>
          <w:p w:rsidR="000F571E" w:rsidRPr="005759FC" w:rsidRDefault="000F571E" w:rsidP="00FA631C">
            <w:pPr>
              <w:jc w:val="center"/>
              <w:rPr>
                <w:b/>
                <w:lang w:val="fr-CA"/>
              </w:rPr>
            </w:pPr>
            <w:r w:rsidRPr="005759FC">
              <w:rPr>
                <w:b/>
                <w:lang w:val="fr-CA"/>
              </w:rPr>
              <w:t>100 000</w:t>
            </w:r>
          </w:p>
        </w:tc>
        <w:tc>
          <w:tcPr>
            <w:tcW w:w="1171" w:type="dxa"/>
          </w:tcPr>
          <w:p w:rsidR="000F571E" w:rsidRDefault="000F571E" w:rsidP="00FA631C">
            <w:pPr>
              <w:rPr>
                <w:lang w:val="fr-CA"/>
              </w:rPr>
            </w:pPr>
          </w:p>
        </w:tc>
      </w:tr>
      <w:tr w:rsidR="000F571E" w:rsidTr="00FA631C">
        <w:tc>
          <w:tcPr>
            <w:tcW w:w="9062" w:type="dxa"/>
            <w:gridSpan w:val="7"/>
            <w:shd w:val="clear" w:color="auto" w:fill="BFBFBF" w:themeFill="background1" w:themeFillShade="BF"/>
          </w:tcPr>
          <w:p w:rsidR="000F571E" w:rsidRPr="006C63F4" w:rsidRDefault="000F571E" w:rsidP="00FA631C">
            <w:pPr>
              <w:jc w:val="center"/>
              <w:rPr>
                <w:b/>
                <w:lang w:val="fr-CA"/>
              </w:rPr>
            </w:pPr>
            <w:r w:rsidRPr="0091686F">
              <w:rPr>
                <w:b/>
                <w:lang w:val="fr-CA"/>
              </w:rPr>
              <w:t>PNUD Maroc</w:t>
            </w:r>
          </w:p>
        </w:tc>
      </w:tr>
      <w:tr w:rsidR="000F571E" w:rsidTr="00FA631C">
        <w:tc>
          <w:tcPr>
            <w:tcW w:w="1573" w:type="dxa"/>
          </w:tcPr>
          <w:p w:rsidR="000F571E" w:rsidRDefault="000F571E" w:rsidP="00FA631C">
            <w:pPr>
              <w:rPr>
                <w:lang w:val="fr-CA"/>
              </w:rPr>
            </w:pPr>
            <w:r w:rsidRPr="006B3D37">
              <w:rPr>
                <w:lang w:val="fr-CA"/>
              </w:rPr>
              <w:t>Gestion du projet</w:t>
            </w:r>
          </w:p>
        </w:tc>
        <w:tc>
          <w:tcPr>
            <w:tcW w:w="1224" w:type="dxa"/>
          </w:tcPr>
          <w:p w:rsidR="000F571E" w:rsidRDefault="000F571E" w:rsidP="00FA631C">
            <w:pPr>
              <w:rPr>
                <w:lang w:val="fr-CA"/>
              </w:rPr>
            </w:pPr>
          </w:p>
        </w:tc>
        <w:tc>
          <w:tcPr>
            <w:tcW w:w="1308" w:type="dxa"/>
          </w:tcPr>
          <w:p w:rsidR="000F571E" w:rsidRDefault="000F571E" w:rsidP="00FA631C">
            <w:pPr>
              <w:rPr>
                <w:lang w:val="fr-CA"/>
              </w:rPr>
            </w:pPr>
            <w:r>
              <w:rPr>
                <w:lang w:val="fr-CA"/>
              </w:rPr>
              <w:t xml:space="preserve"> 34 </w:t>
            </w:r>
            <w:r w:rsidRPr="0091686F">
              <w:rPr>
                <w:lang w:val="fr-CA"/>
              </w:rPr>
              <w:t xml:space="preserve">000   </w:t>
            </w:r>
          </w:p>
        </w:tc>
        <w:tc>
          <w:tcPr>
            <w:tcW w:w="1142" w:type="dxa"/>
          </w:tcPr>
          <w:p w:rsidR="000F571E" w:rsidRDefault="000F571E" w:rsidP="00FA631C">
            <w:pPr>
              <w:rPr>
                <w:lang w:val="fr-CA"/>
              </w:rPr>
            </w:pPr>
            <w:r>
              <w:rPr>
                <w:lang w:val="fr-CA"/>
              </w:rPr>
              <w:t xml:space="preserve">33 </w:t>
            </w:r>
            <w:r w:rsidRPr="0091686F">
              <w:rPr>
                <w:lang w:val="fr-CA"/>
              </w:rPr>
              <w:t>000</w:t>
            </w:r>
          </w:p>
        </w:tc>
        <w:tc>
          <w:tcPr>
            <w:tcW w:w="1270" w:type="dxa"/>
          </w:tcPr>
          <w:p w:rsidR="000F571E" w:rsidRDefault="000F571E" w:rsidP="00FA631C">
            <w:pPr>
              <w:rPr>
                <w:lang w:val="fr-CA"/>
              </w:rPr>
            </w:pPr>
            <w:r>
              <w:rPr>
                <w:lang w:val="fr-CA"/>
              </w:rPr>
              <w:t xml:space="preserve">33 </w:t>
            </w:r>
            <w:r w:rsidRPr="0091686F">
              <w:rPr>
                <w:lang w:val="fr-CA"/>
              </w:rPr>
              <w:t>000</w:t>
            </w:r>
          </w:p>
        </w:tc>
        <w:tc>
          <w:tcPr>
            <w:tcW w:w="1374" w:type="dxa"/>
            <w:shd w:val="clear" w:color="auto" w:fill="BFBFBF" w:themeFill="background1" w:themeFillShade="BF"/>
          </w:tcPr>
          <w:p w:rsidR="000F571E" w:rsidRPr="005759FC" w:rsidRDefault="000F571E" w:rsidP="00FA631C">
            <w:pPr>
              <w:rPr>
                <w:b/>
                <w:lang w:val="fr-CA"/>
              </w:rPr>
            </w:pPr>
            <w:r w:rsidRPr="005759FC">
              <w:rPr>
                <w:b/>
                <w:lang w:val="fr-CA"/>
              </w:rPr>
              <w:t>100 000</w:t>
            </w:r>
          </w:p>
        </w:tc>
        <w:tc>
          <w:tcPr>
            <w:tcW w:w="1171" w:type="dxa"/>
          </w:tcPr>
          <w:p w:rsidR="000F571E" w:rsidRDefault="000F571E" w:rsidP="00FA631C">
            <w:pPr>
              <w:rPr>
                <w:lang w:val="fr-CA"/>
              </w:rPr>
            </w:pPr>
          </w:p>
        </w:tc>
      </w:tr>
      <w:tr w:rsidR="000F571E" w:rsidTr="00FA631C">
        <w:tc>
          <w:tcPr>
            <w:tcW w:w="1573" w:type="dxa"/>
            <w:shd w:val="clear" w:color="auto" w:fill="BFBFBF" w:themeFill="background1" w:themeFillShade="BF"/>
          </w:tcPr>
          <w:p w:rsidR="000F571E" w:rsidRPr="0091686F" w:rsidRDefault="000F571E" w:rsidP="00FA631C">
            <w:pPr>
              <w:rPr>
                <w:b/>
                <w:lang w:val="fr-CA"/>
              </w:rPr>
            </w:pPr>
            <w:r w:rsidRPr="0091686F">
              <w:rPr>
                <w:b/>
                <w:lang w:val="fr-CA"/>
              </w:rPr>
              <w:t>Total général</w:t>
            </w:r>
          </w:p>
        </w:tc>
        <w:tc>
          <w:tcPr>
            <w:tcW w:w="7489" w:type="dxa"/>
            <w:gridSpan w:val="6"/>
            <w:shd w:val="clear" w:color="auto" w:fill="BFBFBF" w:themeFill="background1" w:themeFillShade="BF"/>
          </w:tcPr>
          <w:p w:rsidR="000F571E" w:rsidRPr="005759FC" w:rsidRDefault="000F571E" w:rsidP="00FA631C">
            <w:pPr>
              <w:jc w:val="center"/>
              <w:rPr>
                <w:b/>
                <w:lang w:val="fr-CA"/>
              </w:rPr>
            </w:pPr>
            <w:r w:rsidRPr="005759FC">
              <w:rPr>
                <w:b/>
                <w:lang w:val="fr-CA"/>
              </w:rPr>
              <w:t>786 900</w:t>
            </w:r>
          </w:p>
        </w:tc>
      </w:tr>
    </w:tbl>
    <w:p w:rsidR="00AD6955" w:rsidRDefault="00AD6955" w:rsidP="00AD1A5C">
      <w:pPr>
        <w:autoSpaceDE w:val="0"/>
        <w:autoSpaceDN w:val="0"/>
        <w:adjustRightInd w:val="0"/>
        <w:spacing w:after="0" w:line="240" w:lineRule="auto"/>
        <w:rPr>
          <w:rFonts w:cs="ACaslonPro-Regular"/>
          <w:color w:val="000000"/>
        </w:rPr>
      </w:pPr>
    </w:p>
    <w:p w:rsidR="00AD6955" w:rsidRDefault="009E1AE5" w:rsidP="00AD1A5C">
      <w:pPr>
        <w:autoSpaceDE w:val="0"/>
        <w:autoSpaceDN w:val="0"/>
        <w:adjustRightInd w:val="0"/>
        <w:spacing w:after="0" w:line="240" w:lineRule="auto"/>
        <w:rPr>
          <w:rFonts w:cs="ACaslonPro-Regular"/>
          <w:color w:val="000000"/>
        </w:rPr>
      </w:pPr>
      <w:r>
        <w:rPr>
          <w:rFonts w:cs="ACaslonPro-Regular"/>
          <w:color w:val="000000"/>
        </w:rPr>
        <w:t>Les 9000 $ initialement prévus sur le fonds FEM pour la gestion du projet au cours de l’exercice 2011 ont été finalement répartis sur les trois années de la contribution du FEM à raison de 6000$ pour l’année 2012, 2000$ pour l’année 2013 et 1000$ pour l’année 2014.</w:t>
      </w:r>
    </w:p>
    <w:p w:rsidR="009E1AE5" w:rsidRDefault="009E1AE5" w:rsidP="00AD1A5C">
      <w:pPr>
        <w:autoSpaceDE w:val="0"/>
        <w:autoSpaceDN w:val="0"/>
        <w:adjustRightInd w:val="0"/>
        <w:spacing w:after="0" w:line="240" w:lineRule="auto"/>
        <w:rPr>
          <w:rFonts w:cs="ACaslonPro-Regular"/>
          <w:color w:val="000000"/>
        </w:rPr>
      </w:pPr>
    </w:p>
    <w:p w:rsidR="009E1AE5" w:rsidRDefault="009E1AE5" w:rsidP="007E6F26">
      <w:pPr>
        <w:autoSpaceDE w:val="0"/>
        <w:autoSpaceDN w:val="0"/>
        <w:adjustRightInd w:val="0"/>
        <w:spacing w:after="0" w:line="240" w:lineRule="auto"/>
        <w:jc w:val="both"/>
        <w:rPr>
          <w:rFonts w:cs="ACaslonPro-Regular"/>
          <w:color w:val="000000"/>
        </w:rPr>
      </w:pPr>
      <w:r w:rsidRPr="009E1AE5">
        <w:rPr>
          <w:rFonts w:cs="ACaslonPro-Regular"/>
          <w:color w:val="000000"/>
        </w:rPr>
        <w:t xml:space="preserve">Le budget total prévu y compris la contribution du gouvernement (en espèces et en nature) et </w:t>
      </w:r>
      <w:r>
        <w:rPr>
          <w:rFonts w:cs="ACaslonPro-Regular"/>
          <w:color w:val="000000"/>
        </w:rPr>
        <w:t>du PNUD</w:t>
      </w:r>
      <w:r w:rsidRPr="009E1AE5">
        <w:rPr>
          <w:rFonts w:cs="ACaslonPro-Regular"/>
          <w:color w:val="000000"/>
        </w:rPr>
        <w:t xml:space="preserve"> est de </w:t>
      </w:r>
      <w:r>
        <w:rPr>
          <w:rFonts w:cs="ACaslonPro-Regular"/>
          <w:color w:val="000000"/>
        </w:rPr>
        <w:t>786 900 USD</w:t>
      </w:r>
      <w:r w:rsidRPr="009E1AE5">
        <w:rPr>
          <w:rFonts w:cs="ACaslonPro-Regular"/>
          <w:color w:val="000000"/>
        </w:rPr>
        <w:t xml:space="preserve">. </w:t>
      </w:r>
      <w:r w:rsidR="00CC4778">
        <w:rPr>
          <w:rFonts w:cs="ACaslonPro-Regular"/>
          <w:color w:val="000000"/>
        </w:rPr>
        <w:t>L</w:t>
      </w:r>
      <w:r w:rsidR="00CC4778" w:rsidRPr="009E1AE5">
        <w:rPr>
          <w:rFonts w:cs="ACaslonPro-Regular"/>
          <w:color w:val="000000"/>
        </w:rPr>
        <w:t xml:space="preserve">e budget FEM tel qu’il apparaît au document de projet est de </w:t>
      </w:r>
      <w:r w:rsidR="00CC4778">
        <w:rPr>
          <w:rFonts w:cs="ACaslonPro-Regular"/>
          <w:color w:val="000000"/>
        </w:rPr>
        <w:t>460 000</w:t>
      </w:r>
      <w:r w:rsidR="00CC4778" w:rsidRPr="009E1AE5">
        <w:rPr>
          <w:rFonts w:cs="ACaslonPro-Regular"/>
          <w:color w:val="000000"/>
        </w:rPr>
        <w:t xml:space="preserve"> USD</w:t>
      </w:r>
      <w:r w:rsidR="00CC4778">
        <w:rPr>
          <w:rFonts w:cs="ACaslonPro-Regular"/>
          <w:color w:val="000000"/>
        </w:rPr>
        <w:t xml:space="preserve"> soit 58% du budget total</w:t>
      </w:r>
      <w:r w:rsidR="00CC4778" w:rsidRPr="009E1AE5">
        <w:rPr>
          <w:rFonts w:cs="ACaslonPro-Regular"/>
          <w:color w:val="000000"/>
        </w:rPr>
        <w:t xml:space="preserve">. </w:t>
      </w:r>
      <w:r w:rsidRPr="009E1AE5">
        <w:rPr>
          <w:rFonts w:cs="ACaslonPro-Regular"/>
          <w:color w:val="000000"/>
        </w:rPr>
        <w:t xml:space="preserve">Le gouvernement marocain avait prévu d’apporter des ressources financières en nature et en espèces à hauteur </w:t>
      </w:r>
      <w:r>
        <w:rPr>
          <w:rFonts w:cs="ACaslonPro-Regular"/>
          <w:color w:val="000000"/>
        </w:rPr>
        <w:t xml:space="preserve">de 226 900 </w:t>
      </w:r>
      <w:r w:rsidRPr="009E1AE5">
        <w:rPr>
          <w:rFonts w:cs="ACaslonPro-Regular"/>
          <w:color w:val="000000"/>
        </w:rPr>
        <w:t xml:space="preserve">USD, soit de </w:t>
      </w:r>
      <w:r w:rsidR="00697504">
        <w:rPr>
          <w:rFonts w:cs="ACaslonPro-Regular"/>
          <w:color w:val="000000"/>
        </w:rPr>
        <w:t>29</w:t>
      </w:r>
      <w:r w:rsidRPr="009E1AE5">
        <w:rPr>
          <w:rFonts w:cs="ACaslonPro-Regular"/>
          <w:color w:val="000000"/>
        </w:rPr>
        <w:t xml:space="preserve">% du budget global. </w:t>
      </w:r>
      <w:r>
        <w:rPr>
          <w:rFonts w:cs="ACaslonPro-Regular"/>
          <w:color w:val="000000"/>
        </w:rPr>
        <w:t>La contribution du PNUD s’élève à 100 000 USD</w:t>
      </w:r>
      <w:r w:rsidR="00697504">
        <w:rPr>
          <w:rFonts w:cs="ACaslonPro-Regular"/>
          <w:color w:val="000000"/>
        </w:rPr>
        <w:t xml:space="preserve"> (13</w:t>
      </w:r>
      <w:r w:rsidR="00CC4778">
        <w:rPr>
          <w:rFonts w:cs="ACaslonPro-Regular"/>
          <w:color w:val="000000"/>
        </w:rPr>
        <w:t>% du budget total)</w:t>
      </w:r>
      <w:r>
        <w:rPr>
          <w:rFonts w:cs="ACaslonPro-Regular"/>
          <w:color w:val="000000"/>
        </w:rPr>
        <w:t xml:space="preserve">. </w:t>
      </w:r>
    </w:p>
    <w:p w:rsidR="009E1AE5" w:rsidRDefault="009E1AE5" w:rsidP="00AD1A5C">
      <w:pPr>
        <w:autoSpaceDE w:val="0"/>
        <w:autoSpaceDN w:val="0"/>
        <w:adjustRightInd w:val="0"/>
        <w:spacing w:after="0" w:line="240" w:lineRule="auto"/>
        <w:rPr>
          <w:rFonts w:cs="ACaslonPro-Regular"/>
          <w:color w:val="000000"/>
        </w:rPr>
      </w:pPr>
    </w:p>
    <w:p w:rsidR="0025360A" w:rsidRDefault="0025360A" w:rsidP="00FD01E1">
      <w:pPr>
        <w:autoSpaceDE w:val="0"/>
        <w:autoSpaceDN w:val="0"/>
        <w:adjustRightInd w:val="0"/>
        <w:spacing w:after="0" w:line="240" w:lineRule="auto"/>
        <w:jc w:val="both"/>
        <w:rPr>
          <w:rFonts w:cs="ACaslonPro-Regular"/>
          <w:color w:val="000000"/>
        </w:rPr>
      </w:pPr>
      <w:r>
        <w:rPr>
          <w:rFonts w:cs="ACaslonPro-Regular"/>
          <w:color w:val="000000"/>
        </w:rPr>
        <w:lastRenderedPageBreak/>
        <w:t>Le tableau suivant</w:t>
      </w:r>
      <w:r w:rsidRPr="0025360A">
        <w:rPr>
          <w:rFonts w:cs="ACaslonPro-Regular"/>
          <w:color w:val="000000"/>
        </w:rPr>
        <w:t xml:space="preserve"> présente les budgets annuels actualisés suivant les plans de travail annuelsvalidés. </w:t>
      </w:r>
      <w:r>
        <w:rPr>
          <w:rFonts w:cs="ACaslonPro-Regular"/>
          <w:color w:val="000000"/>
        </w:rPr>
        <w:t>L’année en cours (2015</w:t>
      </w:r>
      <w:r w:rsidRPr="0025360A">
        <w:rPr>
          <w:rFonts w:cs="ACaslonPro-Regular"/>
          <w:color w:val="000000"/>
        </w:rPr>
        <w:t>) ne pourra pasêtre analysée explicitement. Il est à noter que</w:t>
      </w:r>
      <w:r>
        <w:rPr>
          <w:rFonts w:cs="ACaslonPro-Regular"/>
          <w:color w:val="000000"/>
        </w:rPr>
        <w:t xml:space="preserve"> pour ce dernier exercice</w:t>
      </w:r>
      <w:r w:rsidRPr="0025360A">
        <w:rPr>
          <w:rFonts w:cs="ACaslonPro-Regular"/>
          <w:color w:val="000000"/>
        </w:rPr>
        <w:t xml:space="preserve"> le budget globala été revu à la hausse, car c'est la dernière annéeet de ce fait tout le budget restan</w:t>
      </w:r>
      <w:r>
        <w:rPr>
          <w:rFonts w:cs="ACaslonPro-Regular"/>
          <w:color w:val="000000"/>
        </w:rPr>
        <w:t>t doit être planifié</w:t>
      </w:r>
      <w:r w:rsidRPr="0025360A">
        <w:rPr>
          <w:rFonts w:cs="ACaslonPro-Regular"/>
          <w:color w:val="000000"/>
        </w:rPr>
        <w:t>.Ainsi en comparant les budget</w:t>
      </w:r>
      <w:r>
        <w:rPr>
          <w:rFonts w:cs="ACaslonPro-Regular"/>
          <w:color w:val="000000"/>
        </w:rPr>
        <w:t>s annuels actualisés</w:t>
      </w:r>
      <w:r w:rsidRPr="0025360A">
        <w:rPr>
          <w:rFonts w:cs="ACaslonPro-Regular"/>
          <w:color w:val="000000"/>
        </w:rPr>
        <w:t xml:space="preserve"> etles budget</w:t>
      </w:r>
      <w:r>
        <w:rPr>
          <w:rFonts w:cs="ACaslonPro-Regular"/>
          <w:color w:val="000000"/>
        </w:rPr>
        <w:t>s</w:t>
      </w:r>
      <w:r w:rsidRPr="0025360A">
        <w:rPr>
          <w:rFonts w:cs="ACaslonPro-Regular"/>
          <w:color w:val="000000"/>
        </w:rPr>
        <w:t xml:space="preserve"> prévu</w:t>
      </w:r>
      <w:r>
        <w:rPr>
          <w:rFonts w:cs="ACaslonPro-Regular"/>
          <w:color w:val="000000"/>
        </w:rPr>
        <w:t>s</w:t>
      </w:r>
      <w:r w:rsidRPr="0025360A">
        <w:rPr>
          <w:rFonts w:cs="ACaslonPro-Regular"/>
          <w:color w:val="000000"/>
        </w:rPr>
        <w:t xml:space="preserve"> dans l</w:t>
      </w:r>
      <w:r>
        <w:rPr>
          <w:rFonts w:cs="ACaslonPro-Regular"/>
          <w:color w:val="000000"/>
        </w:rPr>
        <w:t xml:space="preserve">e document de projet, les </w:t>
      </w:r>
      <w:r w:rsidR="005B5A9A">
        <w:rPr>
          <w:rFonts w:cs="ACaslonPro-Regular"/>
          <w:color w:val="000000"/>
        </w:rPr>
        <w:t>outcomes</w:t>
      </w:r>
      <w:r w:rsidRPr="0025360A">
        <w:rPr>
          <w:rFonts w:cs="ACaslonPro-Regular"/>
          <w:color w:val="000000"/>
        </w:rPr>
        <w:t xml:space="preserve"> 1 </w:t>
      </w:r>
      <w:r>
        <w:rPr>
          <w:rFonts w:cs="ACaslonPro-Regular"/>
          <w:color w:val="000000"/>
        </w:rPr>
        <w:t xml:space="preserve">et 2 ontvu leur budget respectif augmenter de 20% </w:t>
      </w:r>
      <w:r w:rsidR="005B5A9A">
        <w:rPr>
          <w:rFonts w:cs="ACaslonPro-Regular"/>
          <w:color w:val="000000"/>
        </w:rPr>
        <w:t xml:space="preserve">alors que les outcomes 3 et 4 </w:t>
      </w:r>
      <w:r w:rsidRPr="0025360A">
        <w:rPr>
          <w:rFonts w:cs="ACaslonPro-Regular"/>
          <w:color w:val="000000"/>
        </w:rPr>
        <w:t>ont vu leur bud</w:t>
      </w:r>
      <w:r w:rsidR="005B5A9A">
        <w:rPr>
          <w:rFonts w:cs="ACaslonPro-Regular"/>
          <w:color w:val="000000"/>
        </w:rPr>
        <w:t>get augmenter</w:t>
      </w:r>
      <w:r w:rsidRPr="0025360A">
        <w:rPr>
          <w:rFonts w:cs="ACaslonPro-Regular"/>
          <w:color w:val="000000"/>
        </w:rPr>
        <w:t xml:space="preserve"> de </w:t>
      </w:r>
      <w:r w:rsidR="005B5A9A">
        <w:rPr>
          <w:rFonts w:cs="ACaslonPro-Regular"/>
          <w:color w:val="000000"/>
        </w:rPr>
        <w:t xml:space="preserve">12 et 8 % respectivement. </w:t>
      </w:r>
    </w:p>
    <w:p w:rsidR="00FD01E1" w:rsidRDefault="00FD01E1" w:rsidP="00FD01E1">
      <w:pPr>
        <w:autoSpaceDE w:val="0"/>
        <w:autoSpaceDN w:val="0"/>
        <w:adjustRightInd w:val="0"/>
        <w:spacing w:after="0" w:line="240" w:lineRule="auto"/>
        <w:jc w:val="both"/>
        <w:rPr>
          <w:rFonts w:cs="ACaslonPro-Regular"/>
          <w:color w:val="000000"/>
        </w:rPr>
      </w:pPr>
    </w:p>
    <w:p w:rsidR="00901898" w:rsidRDefault="00C1440C" w:rsidP="00AD1A5C">
      <w:pPr>
        <w:autoSpaceDE w:val="0"/>
        <w:autoSpaceDN w:val="0"/>
        <w:adjustRightInd w:val="0"/>
        <w:spacing w:after="0" w:line="240" w:lineRule="auto"/>
        <w:rPr>
          <w:rFonts w:cs="ACaslonPro-Regular"/>
          <w:color w:val="000000"/>
        </w:rPr>
      </w:pPr>
      <w:r w:rsidRPr="00C1440C">
        <w:rPr>
          <w:noProof/>
          <w:lang w:eastAsia="fr-FR"/>
        </w:rPr>
        <w:drawing>
          <wp:inline distT="0" distB="0" distL="0" distR="0">
            <wp:extent cx="5759590" cy="4551016"/>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6350" cy="4556358"/>
                    </a:xfrm>
                    <a:prstGeom prst="rect">
                      <a:avLst/>
                    </a:prstGeom>
                    <a:noFill/>
                    <a:ln>
                      <a:noFill/>
                    </a:ln>
                  </pic:spPr>
                </pic:pic>
              </a:graphicData>
            </a:graphic>
          </wp:inline>
        </w:drawing>
      </w:r>
    </w:p>
    <w:p w:rsidR="004F35D3" w:rsidRDefault="004F35D3" w:rsidP="00AD1A5C">
      <w:pPr>
        <w:autoSpaceDE w:val="0"/>
        <w:autoSpaceDN w:val="0"/>
        <w:adjustRightInd w:val="0"/>
        <w:spacing w:after="0" w:line="240" w:lineRule="auto"/>
        <w:rPr>
          <w:rFonts w:cs="ACaslonPro-Regular"/>
          <w:color w:val="000000"/>
        </w:rPr>
      </w:pPr>
    </w:p>
    <w:p w:rsidR="002250FF" w:rsidRDefault="005B5A9A" w:rsidP="002250FF">
      <w:pPr>
        <w:autoSpaceDE w:val="0"/>
        <w:autoSpaceDN w:val="0"/>
        <w:adjustRightInd w:val="0"/>
        <w:spacing w:after="0" w:line="240" w:lineRule="auto"/>
        <w:jc w:val="both"/>
        <w:rPr>
          <w:rFonts w:cs="ACaslonPro-Regular"/>
          <w:color w:val="000000"/>
        </w:rPr>
      </w:pPr>
      <w:r>
        <w:rPr>
          <w:rFonts w:cs="ACaslonPro-Regular"/>
          <w:color w:val="000000"/>
        </w:rPr>
        <w:t xml:space="preserve">Le tableau </w:t>
      </w:r>
      <w:r w:rsidRPr="005B5A9A">
        <w:rPr>
          <w:rFonts w:cs="ACaslonPro-Regular"/>
          <w:color w:val="000000"/>
        </w:rPr>
        <w:t xml:space="preserve">suivant présente les dépenses annuelles exécutées par composante du projet à la date de l’évaluation. Ce tableau permet de comparer les budgetsplanifiés à ceux qui sont réellement validés dans les plans </w:t>
      </w:r>
      <w:r w:rsidR="002250FF">
        <w:rPr>
          <w:rFonts w:cs="ACaslonPro-Regular"/>
          <w:color w:val="000000"/>
        </w:rPr>
        <w:t>annuels de travail. L’année 2015</w:t>
      </w:r>
      <w:r w:rsidRPr="005B5A9A">
        <w:rPr>
          <w:rFonts w:cs="ACaslonPro-Regular"/>
          <w:color w:val="000000"/>
        </w:rPr>
        <w:t xml:space="preserve"> e</w:t>
      </w:r>
      <w:r w:rsidR="00943FCD">
        <w:rPr>
          <w:rFonts w:cs="ACaslonPro-Regular"/>
          <w:color w:val="000000"/>
        </w:rPr>
        <w:t>n cours n’a pas été considérée (le taux d’exécution budgétaire pour l’année 2015 est arrêté à la date du 26 mai 2015, il correspond à 36 % de l’AWP 2015 initial).</w:t>
      </w:r>
    </w:p>
    <w:p w:rsidR="002250FF" w:rsidRDefault="002250FF" w:rsidP="002250FF">
      <w:pPr>
        <w:autoSpaceDE w:val="0"/>
        <w:autoSpaceDN w:val="0"/>
        <w:adjustRightInd w:val="0"/>
        <w:spacing w:after="0" w:line="240" w:lineRule="auto"/>
        <w:jc w:val="both"/>
        <w:rPr>
          <w:rFonts w:cs="ACaslonPro-Regular"/>
          <w:color w:val="000000"/>
        </w:rPr>
      </w:pPr>
    </w:p>
    <w:p w:rsidR="005B5A9A" w:rsidRPr="005B5A9A" w:rsidRDefault="002250FF" w:rsidP="002250FF">
      <w:pPr>
        <w:autoSpaceDE w:val="0"/>
        <w:autoSpaceDN w:val="0"/>
        <w:adjustRightInd w:val="0"/>
        <w:spacing w:after="0" w:line="240" w:lineRule="auto"/>
        <w:jc w:val="both"/>
        <w:rPr>
          <w:rFonts w:cs="ACaslonPro-Regular"/>
          <w:color w:val="000000"/>
        </w:rPr>
      </w:pPr>
      <w:r>
        <w:rPr>
          <w:rFonts w:cs="ACaslonPro-Regular"/>
          <w:color w:val="000000"/>
        </w:rPr>
        <w:t>Dans ce tableau</w:t>
      </w:r>
      <w:r w:rsidR="005B5A9A" w:rsidRPr="005B5A9A">
        <w:rPr>
          <w:rFonts w:cs="ACaslonPro-Regular"/>
          <w:color w:val="000000"/>
        </w:rPr>
        <w:t>, les dépenses réellessont comparées aux budgets prévus pour déterminer le tauxd’exécution financière. Il en résulte que le taux d’exécution du projet pour la période allant de 20</w:t>
      </w:r>
      <w:r>
        <w:rPr>
          <w:rFonts w:cs="ACaslonPro-Regular"/>
          <w:color w:val="000000"/>
        </w:rPr>
        <w:t>12</w:t>
      </w:r>
      <w:r w:rsidR="005B5A9A" w:rsidRPr="005B5A9A">
        <w:rPr>
          <w:rFonts w:cs="ACaslonPro-Regular"/>
          <w:color w:val="000000"/>
        </w:rPr>
        <w:t xml:space="preserve"> à</w:t>
      </w:r>
    </w:p>
    <w:p w:rsidR="00943FCD" w:rsidRDefault="000D0898" w:rsidP="002250FF">
      <w:pPr>
        <w:autoSpaceDE w:val="0"/>
        <w:autoSpaceDN w:val="0"/>
        <w:adjustRightInd w:val="0"/>
        <w:spacing w:after="0" w:line="240" w:lineRule="auto"/>
        <w:jc w:val="both"/>
        <w:rPr>
          <w:rFonts w:cs="ACaslonPro-Regular"/>
          <w:color w:val="000000"/>
        </w:rPr>
      </w:pPr>
      <w:r>
        <w:rPr>
          <w:rFonts w:cs="ACaslonPro-Regular"/>
          <w:color w:val="000000"/>
        </w:rPr>
        <w:t>2014 est de 80</w:t>
      </w:r>
      <w:r w:rsidR="005B5A9A" w:rsidRPr="005B5A9A">
        <w:rPr>
          <w:rFonts w:cs="ACaslonPro-Regular"/>
          <w:color w:val="000000"/>
        </w:rPr>
        <w:t>%</w:t>
      </w:r>
      <w:r w:rsidR="00943FCD">
        <w:rPr>
          <w:rFonts w:cs="ACaslonPro-Regular"/>
          <w:color w:val="000000"/>
        </w:rPr>
        <w:t xml:space="preserve"> (il serait de 70% si on prend en compte le taux d’exécution de 2015 à la date du 26 mai 2015)</w:t>
      </w:r>
      <w:r w:rsidR="005B5A9A" w:rsidRPr="005B5A9A">
        <w:rPr>
          <w:rFonts w:cs="ACaslonPro-Regular"/>
          <w:color w:val="000000"/>
        </w:rPr>
        <w:t>. L’année 2012 a été importante en décaissement (935'924 USD) et corres</w:t>
      </w:r>
      <w:r w:rsidR="002250FF">
        <w:rPr>
          <w:rFonts w:cs="ACaslonPro-Regular"/>
          <w:color w:val="000000"/>
        </w:rPr>
        <w:t>po</w:t>
      </w:r>
      <w:r>
        <w:rPr>
          <w:rFonts w:cs="ACaslonPro-Regular"/>
          <w:color w:val="000000"/>
        </w:rPr>
        <w:t>nd à un taux d’exécution de 73</w:t>
      </w:r>
      <w:r w:rsidR="005B5A9A" w:rsidRPr="005B5A9A">
        <w:rPr>
          <w:rFonts w:cs="ACaslonPro-Regular"/>
          <w:color w:val="000000"/>
        </w:rPr>
        <w:t>%. Le taux d’exécution budgétaire del’année 2013</w:t>
      </w:r>
      <w:r>
        <w:rPr>
          <w:rFonts w:cs="ACaslonPro-Regular"/>
          <w:color w:val="000000"/>
        </w:rPr>
        <w:t xml:space="preserve">, </w:t>
      </w:r>
      <w:r w:rsidR="005B5A9A" w:rsidRPr="005B5A9A">
        <w:rPr>
          <w:rFonts w:cs="ACaslonPro-Regular"/>
          <w:color w:val="000000"/>
        </w:rPr>
        <w:t xml:space="preserve">a été relativement </w:t>
      </w:r>
      <w:r w:rsidR="002250FF">
        <w:rPr>
          <w:rFonts w:cs="ACaslonPro-Regular"/>
          <w:color w:val="000000"/>
        </w:rPr>
        <w:t xml:space="preserve">élevé </w:t>
      </w:r>
      <w:r>
        <w:rPr>
          <w:rFonts w:cs="ACaslonPro-Regular"/>
          <w:color w:val="000000"/>
        </w:rPr>
        <w:t>(93%)</w:t>
      </w:r>
      <w:r w:rsidR="005B5A9A" w:rsidRPr="005B5A9A">
        <w:rPr>
          <w:rFonts w:cs="ACaslonPro-Regular"/>
          <w:color w:val="000000"/>
        </w:rPr>
        <w:t>du fait que l'activité budgétivore du projet (</w:t>
      </w:r>
      <w:r w:rsidR="002250FF">
        <w:rPr>
          <w:rFonts w:cs="ACaslonPro-Regular"/>
          <w:color w:val="000000"/>
        </w:rPr>
        <w:t xml:space="preserve">Résultat 1 : </w:t>
      </w:r>
      <w:r w:rsidR="002250FF" w:rsidRPr="002250FF">
        <w:rPr>
          <w:rFonts w:cs="ACaslonPro-Regular"/>
          <w:color w:val="000000"/>
        </w:rPr>
        <w:t xml:space="preserve">Le cadre institutionnel pour l’intégration de la gestion de l’environnement mondial dans les programmes de l’INDH et dans la planification et </w:t>
      </w:r>
      <w:r w:rsidR="002250FF">
        <w:rPr>
          <w:rFonts w:cs="ACaslonPro-Regular"/>
          <w:color w:val="000000"/>
        </w:rPr>
        <w:t>le suivi des PCD est développé</w:t>
      </w:r>
      <w:r w:rsidR="005B5A9A" w:rsidRPr="005B5A9A">
        <w:rPr>
          <w:rFonts w:cs="ACaslonPro-Regular"/>
          <w:color w:val="000000"/>
        </w:rPr>
        <w:t xml:space="preserve">) n'a </w:t>
      </w:r>
      <w:r w:rsidR="002250FF">
        <w:rPr>
          <w:rFonts w:cs="ACaslonPro-Regular"/>
          <w:color w:val="000000"/>
        </w:rPr>
        <w:t xml:space="preserve">été effectivement exécutée que durant cet exercice. </w:t>
      </w:r>
    </w:p>
    <w:p w:rsidR="002250FF" w:rsidRDefault="002250FF" w:rsidP="00AD1A5C">
      <w:pPr>
        <w:autoSpaceDE w:val="0"/>
        <w:autoSpaceDN w:val="0"/>
        <w:adjustRightInd w:val="0"/>
        <w:spacing w:after="0" w:line="240" w:lineRule="auto"/>
        <w:rPr>
          <w:rFonts w:cs="ACaslonPro-Regular"/>
          <w:color w:val="000000"/>
        </w:rPr>
        <w:sectPr w:rsidR="002250FF">
          <w:pgSz w:w="11906" w:h="16838"/>
          <w:pgMar w:top="1417" w:right="1417" w:bottom="1417" w:left="1417" w:header="708" w:footer="708" w:gutter="0"/>
          <w:cols w:space="708"/>
          <w:docGrid w:linePitch="360"/>
        </w:sectPr>
      </w:pPr>
    </w:p>
    <w:p w:rsidR="002250FF" w:rsidRDefault="002A76AE" w:rsidP="00AD1A5C">
      <w:pPr>
        <w:autoSpaceDE w:val="0"/>
        <w:autoSpaceDN w:val="0"/>
        <w:adjustRightInd w:val="0"/>
        <w:spacing w:after="0" w:line="240" w:lineRule="auto"/>
        <w:rPr>
          <w:rFonts w:cs="ACaslonPro-Regular"/>
          <w:color w:val="000000"/>
        </w:rPr>
        <w:sectPr w:rsidR="002250FF" w:rsidSect="002250FF">
          <w:pgSz w:w="16838" w:h="11906" w:orient="landscape"/>
          <w:pgMar w:top="1417" w:right="1417" w:bottom="1417" w:left="1417" w:header="708" w:footer="708" w:gutter="0"/>
          <w:cols w:space="708"/>
          <w:docGrid w:linePitch="360"/>
        </w:sectPr>
      </w:pPr>
      <w:r w:rsidRPr="002A76AE">
        <w:rPr>
          <w:noProof/>
          <w:lang w:eastAsia="fr-FR"/>
        </w:rPr>
        <w:lastRenderedPageBreak/>
        <w:drawing>
          <wp:inline distT="0" distB="0" distL="0" distR="0">
            <wp:extent cx="8875251" cy="5237019"/>
            <wp:effectExtent l="0" t="0" r="2540" b="190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91085" cy="5246362"/>
                    </a:xfrm>
                    <a:prstGeom prst="rect">
                      <a:avLst/>
                    </a:prstGeom>
                    <a:noFill/>
                    <a:ln>
                      <a:noFill/>
                    </a:ln>
                  </pic:spPr>
                </pic:pic>
              </a:graphicData>
            </a:graphic>
          </wp:inline>
        </w:drawing>
      </w:r>
    </w:p>
    <w:p w:rsidR="00242E89" w:rsidRPr="00AD6955" w:rsidRDefault="00AD6955" w:rsidP="00AD6955">
      <w:pPr>
        <w:pStyle w:val="Titre3"/>
        <w:spacing w:before="0"/>
        <w:rPr>
          <w:rFonts w:asciiTheme="minorHAnsi" w:hAnsiTheme="minorHAnsi" w:cs="ACaslonPro-Regular"/>
          <w:color w:val="auto"/>
        </w:rPr>
      </w:pPr>
      <w:bookmarkStart w:id="51" w:name="_Toc425414586"/>
      <w:r w:rsidRPr="00AD6955">
        <w:rPr>
          <w:rFonts w:asciiTheme="minorHAnsi" w:hAnsiTheme="minorHAnsi" w:cs="Calibri"/>
          <w:color w:val="auto"/>
        </w:rPr>
        <w:lastRenderedPageBreak/>
        <w:t xml:space="preserve">III.2.5 </w:t>
      </w:r>
      <w:r w:rsidR="00AD1A5C" w:rsidRPr="00AD6955">
        <w:rPr>
          <w:rFonts w:asciiTheme="minorHAnsi" w:hAnsiTheme="minorHAnsi" w:cs="ACaslonPro-Regular"/>
          <w:color w:val="auto"/>
        </w:rPr>
        <w:t xml:space="preserve">Suivi et évaluation : conception </w:t>
      </w:r>
      <w:r w:rsidR="00527B3B">
        <w:rPr>
          <w:rFonts w:asciiTheme="minorHAnsi" w:hAnsiTheme="minorHAnsi" w:cs="ACaslonPro-Regular"/>
          <w:color w:val="auto"/>
        </w:rPr>
        <w:t>à l’entrée et mise en œuvre</w:t>
      </w:r>
      <w:bookmarkEnd w:id="51"/>
    </w:p>
    <w:p w:rsidR="008118DB" w:rsidRPr="008118DB" w:rsidRDefault="008118DB" w:rsidP="008118DB">
      <w:pPr>
        <w:autoSpaceDE w:val="0"/>
        <w:autoSpaceDN w:val="0"/>
        <w:adjustRightInd w:val="0"/>
        <w:spacing w:after="0" w:line="240" w:lineRule="auto"/>
        <w:jc w:val="both"/>
        <w:rPr>
          <w:rFonts w:cs="ACaslonPro-Regular"/>
          <w:color w:val="000000"/>
        </w:rPr>
      </w:pPr>
      <w:r w:rsidRPr="008118DB">
        <w:rPr>
          <w:rFonts w:cs="ACaslonPro-Regular"/>
          <w:color w:val="000000"/>
        </w:rPr>
        <w:t>Le ProDoc clarifie l’approche de suivi et d’évaluation du projet (</w:t>
      </w:r>
      <w:r>
        <w:rPr>
          <w:rFonts w:cs="ACaslonPro-Regular"/>
          <w:color w:val="000000"/>
        </w:rPr>
        <w:t xml:space="preserve">Section H </w:t>
      </w:r>
      <w:r w:rsidRPr="008118DB">
        <w:rPr>
          <w:rFonts w:cs="ACaslonPro-Regular"/>
          <w:color w:val="000000"/>
        </w:rPr>
        <w:t xml:space="preserve">– </w:t>
      </w:r>
      <w:r>
        <w:rPr>
          <w:rFonts w:cs="ACaslonPro-Regular"/>
          <w:color w:val="000000"/>
        </w:rPr>
        <w:t xml:space="preserve">Suivi </w:t>
      </w:r>
      <w:r w:rsidR="000140DD">
        <w:rPr>
          <w:rFonts w:cs="ACaslonPro-Regular"/>
          <w:color w:val="000000"/>
        </w:rPr>
        <w:t>et évaluation</w:t>
      </w:r>
      <w:r w:rsidRPr="008118DB">
        <w:rPr>
          <w:rFonts w:cs="ACaslonPro-Regular"/>
          <w:color w:val="000000"/>
        </w:rPr>
        <w:t xml:space="preserve">). Le plan proposé précise clairement les </w:t>
      </w:r>
      <w:r>
        <w:rPr>
          <w:rFonts w:cs="ACaslonPro-Regular"/>
          <w:color w:val="000000"/>
        </w:rPr>
        <w:t xml:space="preserve">étapes de suivi-évaluation et les </w:t>
      </w:r>
      <w:r w:rsidRPr="008118DB">
        <w:rPr>
          <w:rFonts w:cs="ACaslonPro-Regular"/>
          <w:color w:val="000000"/>
        </w:rPr>
        <w:t>rencontres périodiques qui doivent se tenir ainsi que les différents rapports à produire. Le cadre logique et ses indicateurs (</w:t>
      </w:r>
      <w:r>
        <w:rPr>
          <w:rFonts w:cs="ACaslonPro-Regular"/>
          <w:color w:val="000000"/>
        </w:rPr>
        <w:t xml:space="preserve">Annexe 4 du ProDoc) </w:t>
      </w:r>
      <w:r w:rsidRPr="008118DB">
        <w:rPr>
          <w:rFonts w:cs="ACaslonPro-Regular"/>
          <w:color w:val="000000"/>
        </w:rPr>
        <w:t>sont aussi des outils de suivi et d’évaluation.</w:t>
      </w:r>
    </w:p>
    <w:p w:rsidR="00242E89" w:rsidRDefault="008118DB" w:rsidP="008118DB">
      <w:pPr>
        <w:autoSpaceDE w:val="0"/>
        <w:autoSpaceDN w:val="0"/>
        <w:adjustRightInd w:val="0"/>
        <w:spacing w:after="0" w:line="240" w:lineRule="auto"/>
        <w:jc w:val="both"/>
        <w:rPr>
          <w:rFonts w:cs="ACaslonPro-Regular"/>
          <w:color w:val="000000"/>
        </w:rPr>
      </w:pPr>
      <w:r>
        <w:rPr>
          <w:rFonts w:cs="ACaslonPro-Regular"/>
          <w:color w:val="000000"/>
        </w:rPr>
        <w:t>L’U</w:t>
      </w:r>
      <w:r w:rsidRPr="008118DB">
        <w:rPr>
          <w:rFonts w:cs="ACaslonPro-Regular"/>
          <w:color w:val="000000"/>
        </w:rPr>
        <w:t>GP a eu recours à différents outils pour suivre la réalisation des activités du projet et en communiquer les résultats</w:t>
      </w:r>
      <w:r>
        <w:rPr>
          <w:rFonts w:cs="ACaslonPro-Regular"/>
          <w:color w:val="000000"/>
        </w:rPr>
        <w:t> :</w:t>
      </w:r>
      <w:r w:rsidRPr="008118DB">
        <w:rPr>
          <w:rFonts w:cs="ACaslonPro-Regular"/>
          <w:color w:val="000000"/>
        </w:rPr>
        <w:t xml:space="preserve"> Des revues </w:t>
      </w:r>
      <w:r>
        <w:rPr>
          <w:rFonts w:cs="ACaslonPro-Regular"/>
          <w:color w:val="000000"/>
        </w:rPr>
        <w:t xml:space="preserve">mi- annuelles et </w:t>
      </w:r>
      <w:r w:rsidRPr="008118DB">
        <w:rPr>
          <w:rFonts w:cs="ACaslonPro-Regular"/>
          <w:color w:val="000000"/>
        </w:rPr>
        <w:t>annuelles ont été établies, de même que des rapports et plans de travail trimestriels et/ou annuels. Le recours au cadre logique à disposition a permis de faire le monitoring des cibles et des indicateurs de suivi. Ces derniers ont été actualisés au fur et à mesure du déroulement des activités et présentés dans les rapports développés. Les contraintes de mise en œuvre ont aussi été retracées et documentées</w:t>
      </w:r>
      <w:r w:rsidR="00F579E5">
        <w:rPr>
          <w:rFonts w:cs="ACaslonPro-Regular"/>
          <w:color w:val="000000"/>
        </w:rPr>
        <w:t xml:space="preserve"> et la gestion des risques analysée et documentée</w:t>
      </w:r>
      <w:r w:rsidRPr="008118DB">
        <w:rPr>
          <w:rFonts w:cs="ACaslonPro-Regular"/>
          <w:color w:val="000000"/>
        </w:rPr>
        <w:t>. De plus, les comptes rendus des rencontres du C</w:t>
      </w:r>
      <w:r w:rsidR="00F579E5">
        <w:rPr>
          <w:rFonts w:cs="ACaslonPro-Regular"/>
          <w:color w:val="000000"/>
        </w:rPr>
        <w:t>P</w:t>
      </w:r>
      <w:r w:rsidRPr="008118DB">
        <w:rPr>
          <w:rFonts w:cs="ACaslonPro-Regular"/>
          <w:color w:val="000000"/>
        </w:rPr>
        <w:t>P ont été consignés pour le pilotage du projet. Des procédures interne</w:t>
      </w:r>
      <w:r w:rsidR="00F579E5">
        <w:rPr>
          <w:rFonts w:cs="ACaslonPro-Regular"/>
          <w:color w:val="000000"/>
        </w:rPr>
        <w:t>s</w:t>
      </w:r>
      <w:r w:rsidRPr="008118DB">
        <w:rPr>
          <w:rFonts w:cs="ACaslonPro-Regular"/>
          <w:color w:val="000000"/>
        </w:rPr>
        <w:t xml:space="preserve"> ont été aussi instaurées pour la validation des livrables du projet (réunion de validation du livrable, implication de toute l’équipe dans le processus, validat</w:t>
      </w:r>
      <w:r w:rsidR="00F579E5">
        <w:rPr>
          <w:rFonts w:cs="ACaslonPro-Regular"/>
          <w:color w:val="000000"/>
        </w:rPr>
        <w:t>ion finale par la direction, pai</w:t>
      </w:r>
      <w:r w:rsidRPr="008118DB">
        <w:rPr>
          <w:rFonts w:cs="ACaslonPro-Regular"/>
          <w:color w:val="000000"/>
        </w:rPr>
        <w:t>ement</w:t>
      </w:r>
      <w:r w:rsidR="00F579E5">
        <w:rPr>
          <w:rFonts w:cs="ACaslonPro-Regular"/>
          <w:color w:val="000000"/>
        </w:rPr>
        <w:t>s</w:t>
      </w:r>
      <w:r w:rsidRPr="008118DB">
        <w:rPr>
          <w:rFonts w:cs="ACaslonPro-Regular"/>
          <w:color w:val="000000"/>
        </w:rPr>
        <w:t xml:space="preserve"> lié</w:t>
      </w:r>
      <w:r w:rsidR="00F579E5">
        <w:rPr>
          <w:rFonts w:cs="ACaslonPro-Regular"/>
          <w:color w:val="000000"/>
        </w:rPr>
        <w:t>s</w:t>
      </w:r>
      <w:r w:rsidRPr="008118DB">
        <w:rPr>
          <w:rFonts w:cs="ACaslonPro-Regular"/>
          <w:color w:val="000000"/>
        </w:rPr>
        <w:t xml:space="preserve"> au livrable). Ci-après est présentée la synthèse des outils utilisés dans le cad</w:t>
      </w:r>
      <w:r w:rsidR="00F579E5">
        <w:rPr>
          <w:rFonts w:cs="ACaslonPro-Regular"/>
          <w:color w:val="000000"/>
        </w:rPr>
        <w:t>re du suivi et de l’évaluation.</w:t>
      </w:r>
    </w:p>
    <w:p w:rsidR="00F579E5" w:rsidRDefault="00F579E5" w:rsidP="008118DB">
      <w:pPr>
        <w:autoSpaceDE w:val="0"/>
        <w:autoSpaceDN w:val="0"/>
        <w:adjustRightInd w:val="0"/>
        <w:spacing w:after="0" w:line="240" w:lineRule="auto"/>
        <w:jc w:val="both"/>
        <w:rPr>
          <w:rFonts w:cs="ACaslonPro-Regular"/>
          <w:color w:val="000000"/>
        </w:rPr>
      </w:pPr>
    </w:p>
    <w:tbl>
      <w:tblPr>
        <w:tblW w:w="91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6877"/>
      </w:tblGrid>
      <w:tr w:rsidR="008D5C87" w:rsidRPr="008D5C87" w:rsidTr="00604D3A">
        <w:trPr>
          <w:trHeight w:val="91"/>
        </w:trPr>
        <w:tc>
          <w:tcPr>
            <w:tcW w:w="2268" w:type="dxa"/>
            <w:tcBorders>
              <w:bottom w:val="single" w:sz="4" w:space="0" w:color="auto"/>
            </w:tcBorders>
            <w:shd w:val="clear" w:color="auto" w:fill="BFBFBF" w:themeFill="background1" w:themeFillShade="BF"/>
          </w:tcPr>
          <w:p w:rsidR="008D5C87" w:rsidRPr="008D5C87" w:rsidRDefault="008D5C87" w:rsidP="008D5C87">
            <w:pPr>
              <w:autoSpaceDE w:val="0"/>
              <w:autoSpaceDN w:val="0"/>
              <w:adjustRightInd w:val="0"/>
              <w:spacing w:after="0" w:line="240" w:lineRule="auto"/>
              <w:jc w:val="center"/>
              <w:rPr>
                <w:rFonts w:cs="Garamond"/>
                <w:b/>
                <w:color w:val="000000"/>
                <w:sz w:val="20"/>
                <w:szCs w:val="20"/>
              </w:rPr>
            </w:pPr>
            <w:r w:rsidRPr="008D5C87">
              <w:rPr>
                <w:rFonts w:cs="Garamond"/>
                <w:b/>
                <w:iCs/>
                <w:color w:val="000000"/>
                <w:sz w:val="20"/>
                <w:szCs w:val="20"/>
              </w:rPr>
              <w:t>Composante</w:t>
            </w:r>
          </w:p>
        </w:tc>
        <w:tc>
          <w:tcPr>
            <w:tcW w:w="6877" w:type="dxa"/>
            <w:shd w:val="clear" w:color="auto" w:fill="BFBFBF" w:themeFill="background1" w:themeFillShade="BF"/>
          </w:tcPr>
          <w:p w:rsidR="008D5C87" w:rsidRPr="008D5C87" w:rsidRDefault="008D5C87" w:rsidP="008D5C87">
            <w:pPr>
              <w:autoSpaceDE w:val="0"/>
              <w:autoSpaceDN w:val="0"/>
              <w:adjustRightInd w:val="0"/>
              <w:spacing w:after="0" w:line="240" w:lineRule="auto"/>
              <w:jc w:val="center"/>
              <w:rPr>
                <w:rFonts w:cs="Garamond"/>
                <w:b/>
                <w:color w:val="000000"/>
                <w:sz w:val="20"/>
                <w:szCs w:val="20"/>
              </w:rPr>
            </w:pPr>
            <w:r w:rsidRPr="008D5C87">
              <w:rPr>
                <w:rFonts w:cs="Garamond"/>
                <w:b/>
                <w:iCs/>
                <w:color w:val="000000"/>
                <w:sz w:val="20"/>
                <w:szCs w:val="20"/>
              </w:rPr>
              <w:t>Résultats</w:t>
            </w:r>
          </w:p>
        </w:tc>
      </w:tr>
      <w:tr w:rsidR="00527B3B" w:rsidRPr="00563214" w:rsidTr="008D5C87">
        <w:trPr>
          <w:trHeight w:val="433"/>
        </w:trPr>
        <w:tc>
          <w:tcPr>
            <w:tcW w:w="2268" w:type="dxa"/>
            <w:vMerge w:val="restart"/>
          </w:tcPr>
          <w:p w:rsidR="00527B3B" w:rsidRPr="00563214" w:rsidRDefault="00527B3B" w:rsidP="00137810">
            <w:pPr>
              <w:autoSpaceDE w:val="0"/>
              <w:autoSpaceDN w:val="0"/>
              <w:adjustRightInd w:val="0"/>
              <w:spacing w:after="0" w:line="240" w:lineRule="auto"/>
              <w:jc w:val="center"/>
              <w:rPr>
                <w:rFonts w:cs="Garamond"/>
                <w:b/>
                <w:bCs/>
                <w:color w:val="000000"/>
                <w:sz w:val="20"/>
                <w:szCs w:val="20"/>
              </w:rPr>
            </w:pPr>
          </w:p>
          <w:p w:rsidR="00527B3B" w:rsidRPr="00563214" w:rsidRDefault="00527B3B" w:rsidP="00137810">
            <w:pPr>
              <w:autoSpaceDE w:val="0"/>
              <w:autoSpaceDN w:val="0"/>
              <w:adjustRightInd w:val="0"/>
              <w:spacing w:after="0" w:line="240" w:lineRule="auto"/>
              <w:jc w:val="center"/>
              <w:rPr>
                <w:rFonts w:cs="Garamond"/>
                <w:b/>
                <w:bCs/>
                <w:color w:val="000000"/>
                <w:sz w:val="20"/>
                <w:szCs w:val="20"/>
              </w:rPr>
            </w:pPr>
          </w:p>
          <w:p w:rsidR="00527B3B" w:rsidRPr="00563214" w:rsidRDefault="00527B3B" w:rsidP="00137810">
            <w:pPr>
              <w:autoSpaceDE w:val="0"/>
              <w:autoSpaceDN w:val="0"/>
              <w:adjustRightInd w:val="0"/>
              <w:spacing w:after="0" w:line="240" w:lineRule="auto"/>
              <w:jc w:val="center"/>
              <w:rPr>
                <w:rFonts w:cs="Garamond"/>
                <w:b/>
                <w:bCs/>
                <w:color w:val="000000"/>
                <w:sz w:val="20"/>
                <w:szCs w:val="20"/>
              </w:rPr>
            </w:pPr>
          </w:p>
          <w:p w:rsidR="00527B3B" w:rsidRPr="00563214" w:rsidRDefault="00527B3B" w:rsidP="00137810">
            <w:pPr>
              <w:autoSpaceDE w:val="0"/>
              <w:autoSpaceDN w:val="0"/>
              <w:adjustRightInd w:val="0"/>
              <w:spacing w:after="0" w:line="240" w:lineRule="auto"/>
              <w:jc w:val="center"/>
              <w:rPr>
                <w:rFonts w:cs="Garamond"/>
                <w:b/>
                <w:bCs/>
                <w:color w:val="000000"/>
                <w:sz w:val="20"/>
                <w:szCs w:val="20"/>
              </w:rPr>
            </w:pPr>
          </w:p>
          <w:p w:rsidR="00527B3B" w:rsidRPr="00563214" w:rsidRDefault="00527B3B" w:rsidP="00137810">
            <w:pPr>
              <w:autoSpaceDE w:val="0"/>
              <w:autoSpaceDN w:val="0"/>
              <w:adjustRightInd w:val="0"/>
              <w:spacing w:after="0" w:line="240" w:lineRule="auto"/>
              <w:jc w:val="center"/>
              <w:rPr>
                <w:rFonts w:cs="Garamond"/>
                <w:b/>
                <w:bCs/>
                <w:color w:val="000000"/>
                <w:sz w:val="20"/>
                <w:szCs w:val="20"/>
              </w:rPr>
            </w:pPr>
          </w:p>
          <w:p w:rsidR="00527B3B" w:rsidRPr="00563214" w:rsidRDefault="00527B3B" w:rsidP="00137810">
            <w:pPr>
              <w:autoSpaceDE w:val="0"/>
              <w:autoSpaceDN w:val="0"/>
              <w:adjustRightInd w:val="0"/>
              <w:spacing w:after="0" w:line="240" w:lineRule="auto"/>
              <w:jc w:val="center"/>
              <w:rPr>
                <w:rFonts w:cs="Garamond"/>
                <w:b/>
                <w:bCs/>
                <w:color w:val="000000"/>
                <w:sz w:val="20"/>
                <w:szCs w:val="20"/>
              </w:rPr>
            </w:pPr>
          </w:p>
          <w:p w:rsidR="00527B3B" w:rsidRPr="00563214" w:rsidRDefault="00527B3B" w:rsidP="00137810">
            <w:pPr>
              <w:autoSpaceDE w:val="0"/>
              <w:autoSpaceDN w:val="0"/>
              <w:adjustRightInd w:val="0"/>
              <w:spacing w:after="0" w:line="240" w:lineRule="auto"/>
              <w:jc w:val="center"/>
              <w:rPr>
                <w:rFonts w:cs="Garamond"/>
                <w:b/>
                <w:bCs/>
                <w:color w:val="000000"/>
                <w:sz w:val="20"/>
                <w:szCs w:val="20"/>
              </w:rPr>
            </w:pPr>
          </w:p>
          <w:p w:rsidR="00527B3B" w:rsidRPr="008D5C87" w:rsidRDefault="00527B3B" w:rsidP="00137810">
            <w:pPr>
              <w:autoSpaceDE w:val="0"/>
              <w:autoSpaceDN w:val="0"/>
              <w:adjustRightInd w:val="0"/>
              <w:spacing w:after="0" w:line="240" w:lineRule="auto"/>
              <w:jc w:val="center"/>
              <w:rPr>
                <w:rFonts w:cs="Garamond"/>
                <w:color w:val="000000"/>
                <w:sz w:val="20"/>
                <w:szCs w:val="20"/>
              </w:rPr>
            </w:pPr>
            <w:r w:rsidRPr="008D5C87">
              <w:rPr>
                <w:rFonts w:cs="Garamond"/>
                <w:b/>
                <w:bCs/>
                <w:color w:val="000000"/>
                <w:sz w:val="20"/>
                <w:szCs w:val="20"/>
              </w:rPr>
              <w:t>Suivi</w:t>
            </w:r>
          </w:p>
        </w:tc>
        <w:tc>
          <w:tcPr>
            <w:tcW w:w="6877" w:type="dxa"/>
          </w:tcPr>
          <w:p w:rsidR="00527B3B" w:rsidRPr="008D5C87" w:rsidRDefault="00527B3B" w:rsidP="008D5C87">
            <w:pPr>
              <w:autoSpaceDE w:val="0"/>
              <w:autoSpaceDN w:val="0"/>
              <w:adjustRightInd w:val="0"/>
              <w:spacing w:after="0" w:line="240" w:lineRule="auto"/>
              <w:rPr>
                <w:rFonts w:cs="Garamond"/>
                <w:color w:val="000000"/>
                <w:sz w:val="20"/>
                <w:szCs w:val="20"/>
              </w:rPr>
            </w:pPr>
            <w:r w:rsidRPr="008D5C87">
              <w:rPr>
                <w:rFonts w:cs="Garamond"/>
                <w:b/>
                <w:bCs/>
                <w:color w:val="000000"/>
                <w:sz w:val="20"/>
                <w:szCs w:val="20"/>
              </w:rPr>
              <w:t xml:space="preserve">Rapport de lancement | </w:t>
            </w:r>
            <w:r w:rsidRPr="008D5C87">
              <w:rPr>
                <w:rFonts w:cs="Garamond"/>
                <w:color w:val="000000"/>
                <w:sz w:val="20"/>
                <w:szCs w:val="20"/>
              </w:rPr>
              <w:t>l’atel</w:t>
            </w:r>
            <w:r w:rsidRPr="00563214">
              <w:rPr>
                <w:rFonts w:cs="Garamond"/>
                <w:color w:val="000000"/>
                <w:sz w:val="20"/>
                <w:szCs w:val="20"/>
              </w:rPr>
              <w:t>ier de lancement s’est tenu le 5juillet 2015</w:t>
            </w:r>
            <w:r w:rsidRPr="008D5C87">
              <w:rPr>
                <w:rFonts w:cs="Garamond"/>
                <w:color w:val="000000"/>
                <w:sz w:val="20"/>
                <w:szCs w:val="20"/>
              </w:rPr>
              <w:t xml:space="preserve"> à Rabat conformément au plan de suivi et d’évaluation. Le rapport de cet évènement est disponible. </w:t>
            </w:r>
          </w:p>
        </w:tc>
      </w:tr>
      <w:tr w:rsidR="00527B3B" w:rsidRPr="00563214" w:rsidTr="00FA631C">
        <w:trPr>
          <w:trHeight w:val="433"/>
        </w:trPr>
        <w:tc>
          <w:tcPr>
            <w:tcW w:w="2268" w:type="dxa"/>
            <w:vMerge/>
          </w:tcPr>
          <w:p w:rsidR="00527B3B" w:rsidRPr="00563214" w:rsidRDefault="00527B3B" w:rsidP="008D5C87">
            <w:pPr>
              <w:autoSpaceDE w:val="0"/>
              <w:autoSpaceDN w:val="0"/>
              <w:adjustRightInd w:val="0"/>
              <w:spacing w:after="0" w:line="240" w:lineRule="auto"/>
              <w:rPr>
                <w:rFonts w:cs="Garamond"/>
                <w:b/>
                <w:bCs/>
                <w:color w:val="000000"/>
                <w:sz w:val="20"/>
                <w:szCs w:val="20"/>
              </w:rPr>
            </w:pPr>
          </w:p>
        </w:tc>
        <w:tc>
          <w:tcPr>
            <w:tcW w:w="6877" w:type="dxa"/>
            <w:tcBorders>
              <w:bottom w:val="single" w:sz="4" w:space="0" w:color="auto"/>
            </w:tcBorders>
          </w:tcPr>
          <w:p w:rsidR="00527B3B" w:rsidRPr="00563214" w:rsidRDefault="00527B3B" w:rsidP="00527B3B">
            <w:pPr>
              <w:autoSpaceDE w:val="0"/>
              <w:autoSpaceDN w:val="0"/>
              <w:adjustRightInd w:val="0"/>
              <w:spacing w:after="0" w:line="240" w:lineRule="auto"/>
              <w:rPr>
                <w:rFonts w:cs="Garamond"/>
                <w:color w:val="000000"/>
                <w:sz w:val="20"/>
                <w:szCs w:val="20"/>
              </w:rPr>
            </w:pPr>
            <w:r w:rsidRPr="00563214">
              <w:rPr>
                <w:rFonts w:cs="Garamond"/>
                <w:b/>
                <w:bCs/>
                <w:color w:val="000000"/>
                <w:sz w:val="20"/>
                <w:szCs w:val="20"/>
              </w:rPr>
              <w:t>Rapports d’activités annuels</w:t>
            </w:r>
            <w:r w:rsidRPr="008D5C87">
              <w:rPr>
                <w:rFonts w:cs="Garamond"/>
                <w:color w:val="000000"/>
                <w:sz w:val="20"/>
                <w:szCs w:val="20"/>
              </w:rPr>
              <w:t>| ces rapports ont été développés pour 201</w:t>
            </w:r>
            <w:r w:rsidRPr="00563214">
              <w:rPr>
                <w:rFonts w:cs="Garamond"/>
                <w:color w:val="000000"/>
                <w:sz w:val="20"/>
                <w:szCs w:val="20"/>
              </w:rPr>
              <w:t>2</w:t>
            </w:r>
            <w:r w:rsidRPr="008D5C87">
              <w:rPr>
                <w:rFonts w:cs="Garamond"/>
                <w:color w:val="000000"/>
                <w:sz w:val="20"/>
                <w:szCs w:val="20"/>
              </w:rPr>
              <w:t>, 201</w:t>
            </w:r>
            <w:r w:rsidRPr="00563214">
              <w:rPr>
                <w:rFonts w:cs="Garamond"/>
                <w:color w:val="000000"/>
                <w:sz w:val="20"/>
                <w:szCs w:val="20"/>
              </w:rPr>
              <w:t xml:space="preserve">3 et </w:t>
            </w:r>
            <w:r w:rsidRPr="008D5C87">
              <w:rPr>
                <w:rFonts w:cs="Garamond"/>
                <w:color w:val="000000"/>
                <w:sz w:val="20"/>
                <w:szCs w:val="20"/>
              </w:rPr>
              <w:t>201</w:t>
            </w:r>
            <w:r w:rsidRPr="00563214">
              <w:rPr>
                <w:rFonts w:cs="Garamond"/>
                <w:color w:val="000000"/>
                <w:sz w:val="20"/>
                <w:szCs w:val="20"/>
              </w:rPr>
              <w:t>4</w:t>
            </w:r>
            <w:r w:rsidRPr="008D5C87">
              <w:rPr>
                <w:rFonts w:cs="Garamond"/>
                <w:color w:val="000000"/>
                <w:sz w:val="20"/>
                <w:szCs w:val="20"/>
              </w:rPr>
              <w:t xml:space="preserve">. Ils abordent l’avancement, les réalisations et les retards enregistrés du projet ainsi que les risques, mesures d’atténuation et enseignements tirés. </w:t>
            </w:r>
          </w:p>
          <w:p w:rsidR="00527B3B" w:rsidRPr="00563214" w:rsidRDefault="00527B3B" w:rsidP="00527B3B">
            <w:pPr>
              <w:autoSpaceDE w:val="0"/>
              <w:autoSpaceDN w:val="0"/>
              <w:adjustRightInd w:val="0"/>
              <w:spacing w:after="0" w:line="240" w:lineRule="auto"/>
              <w:rPr>
                <w:rFonts w:cs="Garamond"/>
                <w:color w:val="000000"/>
                <w:sz w:val="20"/>
                <w:szCs w:val="20"/>
              </w:rPr>
            </w:pPr>
            <w:r w:rsidRPr="00563214">
              <w:rPr>
                <w:rFonts w:cs="Garamond"/>
                <w:color w:val="000000"/>
                <w:sz w:val="20"/>
                <w:szCs w:val="20"/>
              </w:rPr>
              <w:t>La carte de pointage</w:t>
            </w:r>
            <w:r w:rsidR="00E257F4">
              <w:rPr>
                <w:rFonts w:cs="Garamond"/>
                <w:color w:val="000000"/>
                <w:sz w:val="20"/>
                <w:szCs w:val="20"/>
              </w:rPr>
              <w:t>,</w:t>
            </w:r>
            <w:r w:rsidR="001966B3" w:rsidRPr="00563214">
              <w:rPr>
                <w:rFonts w:cs="Garamond"/>
                <w:color w:val="000000"/>
                <w:sz w:val="20"/>
                <w:szCs w:val="20"/>
              </w:rPr>
              <w:t>pour évaluer les capacités et suivre leur processus de développement, n’a pas été intégrée au système de suivi-évaluation. Elle sera renseignée avant la clôture du projet et l’évaluation effectuée dans le ProDoc sera considéré comme état de référence.</w:t>
            </w:r>
          </w:p>
        </w:tc>
      </w:tr>
      <w:tr w:rsidR="00527B3B" w:rsidRPr="00563214" w:rsidTr="00527B3B">
        <w:tblPrEx>
          <w:tblBorders>
            <w:top w:val="nil"/>
            <w:left w:val="nil"/>
            <w:bottom w:val="nil"/>
            <w:right w:val="nil"/>
            <w:insideH w:val="none" w:sz="0" w:space="0" w:color="auto"/>
            <w:insideV w:val="none" w:sz="0" w:space="0" w:color="auto"/>
          </w:tblBorders>
        </w:tblPrEx>
        <w:trPr>
          <w:trHeight w:val="1352"/>
        </w:trPr>
        <w:tc>
          <w:tcPr>
            <w:tcW w:w="2268" w:type="dxa"/>
            <w:vMerge/>
            <w:tcBorders>
              <w:top w:val="single" w:sz="4" w:space="0" w:color="auto"/>
              <w:left w:val="single" w:sz="4" w:space="0" w:color="auto"/>
              <w:bottom w:val="single" w:sz="4" w:space="0" w:color="auto"/>
              <w:right w:val="single" w:sz="4" w:space="0" w:color="auto"/>
            </w:tcBorders>
          </w:tcPr>
          <w:p w:rsidR="00527B3B" w:rsidRPr="008D5C87" w:rsidRDefault="00527B3B" w:rsidP="008D5C87">
            <w:pPr>
              <w:autoSpaceDE w:val="0"/>
              <w:autoSpaceDN w:val="0"/>
              <w:adjustRightInd w:val="0"/>
              <w:spacing w:after="0" w:line="240" w:lineRule="auto"/>
              <w:rPr>
                <w:rFonts w:cs="Garamond"/>
                <w:color w:val="000000"/>
                <w:sz w:val="20"/>
                <w:szCs w:val="20"/>
              </w:rPr>
            </w:pPr>
          </w:p>
        </w:tc>
        <w:tc>
          <w:tcPr>
            <w:tcW w:w="6877" w:type="dxa"/>
            <w:tcBorders>
              <w:top w:val="single" w:sz="4" w:space="0" w:color="auto"/>
              <w:left w:val="single" w:sz="4" w:space="0" w:color="auto"/>
              <w:bottom w:val="single" w:sz="4" w:space="0" w:color="auto"/>
              <w:right w:val="single" w:sz="4" w:space="0" w:color="auto"/>
            </w:tcBorders>
          </w:tcPr>
          <w:p w:rsidR="00527B3B" w:rsidRPr="008D5C87" w:rsidRDefault="00E257F4" w:rsidP="00137810">
            <w:pPr>
              <w:autoSpaceDE w:val="0"/>
              <w:autoSpaceDN w:val="0"/>
              <w:adjustRightInd w:val="0"/>
              <w:spacing w:after="0" w:line="240" w:lineRule="auto"/>
              <w:rPr>
                <w:rFonts w:cs="Garamond"/>
                <w:color w:val="000000"/>
                <w:sz w:val="20"/>
                <w:szCs w:val="20"/>
              </w:rPr>
            </w:pPr>
            <w:r w:rsidRPr="00563214">
              <w:rPr>
                <w:rFonts w:cs="Garamond"/>
                <w:b/>
                <w:bCs/>
                <w:color w:val="000000"/>
                <w:sz w:val="20"/>
                <w:szCs w:val="20"/>
              </w:rPr>
              <w:t>Comptes rendus</w:t>
            </w:r>
            <w:r w:rsidR="00527B3B" w:rsidRPr="00563214">
              <w:rPr>
                <w:rFonts w:cs="Garamond"/>
                <w:b/>
                <w:bCs/>
                <w:color w:val="000000"/>
                <w:sz w:val="20"/>
                <w:szCs w:val="20"/>
              </w:rPr>
              <w:t xml:space="preserve"> du CP</w:t>
            </w:r>
            <w:r w:rsidR="00527B3B" w:rsidRPr="008D5C87">
              <w:rPr>
                <w:rFonts w:cs="Garamond"/>
                <w:b/>
                <w:bCs/>
                <w:color w:val="000000"/>
                <w:sz w:val="20"/>
                <w:szCs w:val="20"/>
              </w:rPr>
              <w:t xml:space="preserve">P | </w:t>
            </w:r>
            <w:r w:rsidR="00527B3B" w:rsidRPr="008D5C87">
              <w:rPr>
                <w:rFonts w:cs="Garamond"/>
                <w:color w:val="000000"/>
                <w:sz w:val="20"/>
                <w:szCs w:val="20"/>
              </w:rPr>
              <w:t>le C</w:t>
            </w:r>
            <w:r w:rsidR="00527B3B" w:rsidRPr="00563214">
              <w:rPr>
                <w:rFonts w:cs="Garamond"/>
                <w:color w:val="000000"/>
                <w:sz w:val="20"/>
                <w:szCs w:val="20"/>
              </w:rPr>
              <w:t>P</w:t>
            </w:r>
            <w:r w:rsidR="00527B3B" w:rsidRPr="008D5C87">
              <w:rPr>
                <w:rFonts w:cs="Garamond"/>
                <w:color w:val="000000"/>
                <w:sz w:val="20"/>
                <w:szCs w:val="20"/>
              </w:rPr>
              <w:t xml:space="preserve">P formé depuis le début du projet s’est réuni au moins une fois par année pour examiner les progrès réalisés par le projet et fournir les orientations nécessaires à la poursuite du projet. Les </w:t>
            </w:r>
            <w:r w:rsidRPr="008D5C87">
              <w:rPr>
                <w:rFonts w:cs="Garamond"/>
                <w:color w:val="000000"/>
                <w:sz w:val="20"/>
                <w:szCs w:val="20"/>
              </w:rPr>
              <w:t>comptes rendus</w:t>
            </w:r>
            <w:r w:rsidR="00527B3B" w:rsidRPr="008D5C87">
              <w:rPr>
                <w:rFonts w:cs="Garamond"/>
                <w:color w:val="000000"/>
                <w:sz w:val="20"/>
                <w:szCs w:val="20"/>
              </w:rPr>
              <w:t xml:space="preserve"> de ces rencontres ont</w:t>
            </w:r>
            <w:r w:rsidR="00A9081C">
              <w:rPr>
                <w:rFonts w:cs="Garamond"/>
                <w:color w:val="000000"/>
                <w:sz w:val="20"/>
                <w:szCs w:val="20"/>
              </w:rPr>
              <w:t xml:space="preserve"> été réalisés pour 2012, 2013,</w:t>
            </w:r>
            <w:r w:rsidR="00527B3B" w:rsidRPr="008D5C87">
              <w:rPr>
                <w:rFonts w:cs="Garamond"/>
                <w:color w:val="000000"/>
                <w:sz w:val="20"/>
                <w:szCs w:val="20"/>
              </w:rPr>
              <w:t xml:space="preserve"> 2014</w:t>
            </w:r>
            <w:r w:rsidR="00A9081C">
              <w:rPr>
                <w:rFonts w:cs="Garamond"/>
                <w:color w:val="000000"/>
                <w:sz w:val="20"/>
                <w:szCs w:val="20"/>
              </w:rPr>
              <w:t xml:space="preserve"> et 2015</w:t>
            </w:r>
            <w:r w:rsidR="00527B3B" w:rsidRPr="008D5C87">
              <w:rPr>
                <w:rFonts w:cs="Garamond"/>
                <w:color w:val="000000"/>
                <w:sz w:val="20"/>
                <w:szCs w:val="20"/>
              </w:rPr>
              <w:t xml:space="preserve"> en mettant en avant le déroulement, le bilan et les recommandations pour la suite. Les réunions du C</w:t>
            </w:r>
            <w:r w:rsidR="00527B3B" w:rsidRPr="00563214">
              <w:rPr>
                <w:rFonts w:cs="Garamond"/>
                <w:color w:val="000000"/>
                <w:sz w:val="20"/>
                <w:szCs w:val="20"/>
              </w:rPr>
              <w:t>P</w:t>
            </w:r>
            <w:r w:rsidR="00527B3B" w:rsidRPr="008D5C87">
              <w:rPr>
                <w:rFonts w:cs="Garamond"/>
                <w:color w:val="000000"/>
                <w:sz w:val="20"/>
                <w:szCs w:val="20"/>
              </w:rPr>
              <w:t xml:space="preserve">P </w:t>
            </w:r>
            <w:r w:rsidR="00527B3B" w:rsidRPr="00563214">
              <w:rPr>
                <w:rFonts w:cs="Garamond"/>
                <w:color w:val="000000"/>
                <w:sz w:val="20"/>
                <w:szCs w:val="20"/>
              </w:rPr>
              <w:t>ont été organisées annuellement.</w:t>
            </w:r>
          </w:p>
        </w:tc>
      </w:tr>
      <w:tr w:rsidR="00527B3B" w:rsidRPr="00563214" w:rsidTr="00527B3B">
        <w:tblPrEx>
          <w:tblBorders>
            <w:top w:val="nil"/>
            <w:left w:val="nil"/>
            <w:bottom w:val="nil"/>
            <w:right w:val="nil"/>
            <w:insideH w:val="none" w:sz="0" w:space="0" w:color="auto"/>
            <w:insideV w:val="none" w:sz="0" w:space="0" w:color="auto"/>
          </w:tblBorders>
        </w:tblPrEx>
        <w:trPr>
          <w:trHeight w:val="680"/>
        </w:trPr>
        <w:tc>
          <w:tcPr>
            <w:tcW w:w="2268" w:type="dxa"/>
            <w:vMerge/>
            <w:tcBorders>
              <w:top w:val="single" w:sz="4" w:space="0" w:color="auto"/>
              <w:left w:val="single" w:sz="4" w:space="0" w:color="auto"/>
              <w:bottom w:val="single" w:sz="4" w:space="0" w:color="auto"/>
              <w:right w:val="single" w:sz="4" w:space="0" w:color="auto"/>
            </w:tcBorders>
          </w:tcPr>
          <w:p w:rsidR="00527B3B" w:rsidRPr="00563214" w:rsidRDefault="00527B3B" w:rsidP="008D5C87">
            <w:pPr>
              <w:autoSpaceDE w:val="0"/>
              <w:autoSpaceDN w:val="0"/>
              <w:adjustRightInd w:val="0"/>
              <w:spacing w:after="0" w:line="240" w:lineRule="auto"/>
              <w:rPr>
                <w:rFonts w:cs="Garamond"/>
                <w:b/>
                <w:bCs/>
                <w:color w:val="000000"/>
                <w:sz w:val="20"/>
                <w:szCs w:val="20"/>
              </w:rPr>
            </w:pPr>
          </w:p>
        </w:tc>
        <w:tc>
          <w:tcPr>
            <w:tcW w:w="6877" w:type="dxa"/>
            <w:tcBorders>
              <w:top w:val="single" w:sz="4" w:space="0" w:color="auto"/>
              <w:left w:val="single" w:sz="4" w:space="0" w:color="auto"/>
              <w:bottom w:val="single" w:sz="4" w:space="0" w:color="auto"/>
              <w:right w:val="single" w:sz="4" w:space="0" w:color="auto"/>
            </w:tcBorders>
          </w:tcPr>
          <w:p w:rsidR="00527B3B" w:rsidRPr="008D5C87" w:rsidRDefault="00527B3B" w:rsidP="00FA631C">
            <w:pPr>
              <w:autoSpaceDE w:val="0"/>
              <w:autoSpaceDN w:val="0"/>
              <w:adjustRightInd w:val="0"/>
              <w:spacing w:after="0" w:line="240" w:lineRule="auto"/>
              <w:rPr>
                <w:rFonts w:cs="Garamond"/>
                <w:color w:val="000000"/>
                <w:sz w:val="20"/>
                <w:szCs w:val="20"/>
              </w:rPr>
            </w:pPr>
            <w:r w:rsidRPr="008D5C87">
              <w:rPr>
                <w:rFonts w:cs="Garamond"/>
                <w:b/>
                <w:bCs/>
                <w:color w:val="000000"/>
                <w:sz w:val="20"/>
                <w:szCs w:val="20"/>
              </w:rPr>
              <w:t xml:space="preserve">Plan annuel de travail | </w:t>
            </w:r>
            <w:r w:rsidRPr="008D5C87">
              <w:rPr>
                <w:rFonts w:cs="Garamond"/>
                <w:color w:val="000000"/>
                <w:sz w:val="20"/>
                <w:szCs w:val="20"/>
              </w:rPr>
              <w:t>une planification annuelle a été réalisée de manière eff</w:t>
            </w:r>
            <w:r w:rsidRPr="00563214">
              <w:rPr>
                <w:rFonts w:cs="Garamond"/>
                <w:color w:val="000000"/>
                <w:sz w:val="20"/>
                <w:szCs w:val="20"/>
              </w:rPr>
              <w:t>ective pour chaque année de 2012 à 2015</w:t>
            </w:r>
            <w:r w:rsidRPr="008D5C87">
              <w:rPr>
                <w:rFonts w:cs="Garamond"/>
                <w:color w:val="000000"/>
                <w:sz w:val="20"/>
                <w:szCs w:val="20"/>
              </w:rPr>
              <w:t xml:space="preserve"> pour le projet afin de prévoir les activités à mettre en place, définir les entités responsables et évaluer le budget. </w:t>
            </w:r>
          </w:p>
        </w:tc>
      </w:tr>
      <w:tr w:rsidR="00527B3B" w:rsidRPr="00563214" w:rsidTr="00527B3B">
        <w:tblPrEx>
          <w:tblBorders>
            <w:top w:val="nil"/>
            <w:left w:val="nil"/>
            <w:bottom w:val="nil"/>
            <w:right w:val="nil"/>
            <w:insideH w:val="none" w:sz="0" w:space="0" w:color="auto"/>
            <w:insideV w:val="none" w:sz="0" w:space="0" w:color="auto"/>
          </w:tblBorders>
        </w:tblPrEx>
        <w:trPr>
          <w:trHeight w:val="715"/>
        </w:trPr>
        <w:tc>
          <w:tcPr>
            <w:tcW w:w="2268" w:type="dxa"/>
            <w:vMerge/>
            <w:tcBorders>
              <w:top w:val="single" w:sz="4" w:space="0" w:color="auto"/>
              <w:left w:val="single" w:sz="4" w:space="0" w:color="auto"/>
              <w:bottom w:val="single" w:sz="4" w:space="0" w:color="auto"/>
              <w:right w:val="single" w:sz="4" w:space="0" w:color="auto"/>
            </w:tcBorders>
          </w:tcPr>
          <w:p w:rsidR="00527B3B" w:rsidRPr="00563214" w:rsidRDefault="00527B3B" w:rsidP="008D5C87">
            <w:pPr>
              <w:autoSpaceDE w:val="0"/>
              <w:autoSpaceDN w:val="0"/>
              <w:adjustRightInd w:val="0"/>
              <w:spacing w:after="0" w:line="240" w:lineRule="auto"/>
              <w:rPr>
                <w:rFonts w:cs="Garamond"/>
                <w:b/>
                <w:bCs/>
                <w:color w:val="000000"/>
                <w:sz w:val="20"/>
                <w:szCs w:val="20"/>
              </w:rPr>
            </w:pPr>
          </w:p>
        </w:tc>
        <w:tc>
          <w:tcPr>
            <w:tcW w:w="6877" w:type="dxa"/>
            <w:tcBorders>
              <w:top w:val="single" w:sz="4" w:space="0" w:color="auto"/>
              <w:left w:val="single" w:sz="4" w:space="0" w:color="auto"/>
              <w:bottom w:val="single" w:sz="4" w:space="0" w:color="auto"/>
              <w:right w:val="single" w:sz="4" w:space="0" w:color="auto"/>
            </w:tcBorders>
          </w:tcPr>
          <w:p w:rsidR="00527B3B" w:rsidRPr="008D5C87" w:rsidRDefault="00527B3B" w:rsidP="00137810">
            <w:pPr>
              <w:autoSpaceDE w:val="0"/>
              <w:autoSpaceDN w:val="0"/>
              <w:adjustRightInd w:val="0"/>
              <w:spacing w:after="0" w:line="240" w:lineRule="auto"/>
              <w:rPr>
                <w:rFonts w:cs="Garamond"/>
                <w:color w:val="000000"/>
                <w:sz w:val="20"/>
                <w:szCs w:val="20"/>
              </w:rPr>
            </w:pPr>
            <w:r w:rsidRPr="008D5C87">
              <w:rPr>
                <w:rFonts w:cs="Garamond"/>
                <w:b/>
                <w:bCs/>
                <w:color w:val="000000"/>
                <w:sz w:val="20"/>
                <w:szCs w:val="20"/>
              </w:rPr>
              <w:t xml:space="preserve">Revues | </w:t>
            </w:r>
            <w:r w:rsidRPr="008D5C87">
              <w:rPr>
                <w:rFonts w:cs="Garamond"/>
                <w:color w:val="000000"/>
                <w:sz w:val="20"/>
                <w:szCs w:val="20"/>
              </w:rPr>
              <w:t xml:space="preserve">des revues </w:t>
            </w:r>
            <w:r w:rsidR="00E257F4" w:rsidRPr="008D5C87">
              <w:rPr>
                <w:rFonts w:cs="Garamond"/>
                <w:color w:val="000000"/>
                <w:sz w:val="20"/>
                <w:szCs w:val="20"/>
              </w:rPr>
              <w:t>mi- annuelles</w:t>
            </w:r>
            <w:r w:rsidRPr="00563214">
              <w:rPr>
                <w:rFonts w:cs="Garamond"/>
                <w:i/>
                <w:iCs/>
                <w:color w:val="000000"/>
                <w:sz w:val="20"/>
                <w:szCs w:val="20"/>
              </w:rPr>
              <w:t>(sauf pour 2012</w:t>
            </w:r>
            <w:r w:rsidRPr="008D5C87">
              <w:rPr>
                <w:rFonts w:cs="Garamond"/>
                <w:i/>
                <w:iCs/>
                <w:color w:val="000000"/>
                <w:sz w:val="20"/>
                <w:szCs w:val="20"/>
              </w:rPr>
              <w:t xml:space="preserve">) </w:t>
            </w:r>
            <w:r w:rsidRPr="008D5C87">
              <w:rPr>
                <w:rFonts w:cs="Garamond"/>
                <w:color w:val="000000"/>
                <w:sz w:val="20"/>
                <w:szCs w:val="20"/>
              </w:rPr>
              <w:t xml:space="preserve">et annuelles </w:t>
            </w:r>
            <w:r w:rsidRPr="008D5C87">
              <w:rPr>
                <w:rFonts w:cs="Garamond"/>
                <w:i/>
                <w:iCs/>
                <w:color w:val="000000"/>
                <w:sz w:val="20"/>
                <w:szCs w:val="20"/>
              </w:rPr>
              <w:t xml:space="preserve">(bilan et perspectives) </w:t>
            </w:r>
            <w:r w:rsidRPr="008D5C87">
              <w:rPr>
                <w:rFonts w:cs="Garamond"/>
                <w:color w:val="000000"/>
                <w:sz w:val="20"/>
                <w:szCs w:val="20"/>
              </w:rPr>
              <w:t>existent pour les années 201</w:t>
            </w:r>
            <w:r w:rsidRPr="00563214">
              <w:rPr>
                <w:rFonts w:cs="Garamond"/>
                <w:color w:val="000000"/>
                <w:sz w:val="20"/>
                <w:szCs w:val="20"/>
              </w:rPr>
              <w:t>2,</w:t>
            </w:r>
            <w:r w:rsidRPr="008D5C87">
              <w:rPr>
                <w:rFonts w:cs="Garamond"/>
                <w:color w:val="000000"/>
                <w:sz w:val="20"/>
                <w:szCs w:val="20"/>
              </w:rPr>
              <w:t xml:space="preserve"> 2013</w:t>
            </w:r>
            <w:r w:rsidRPr="00563214">
              <w:rPr>
                <w:rFonts w:cs="Garamond"/>
                <w:color w:val="000000"/>
                <w:sz w:val="20"/>
                <w:szCs w:val="20"/>
              </w:rPr>
              <w:t xml:space="preserve"> et 2014</w:t>
            </w:r>
            <w:r w:rsidRPr="008D5C87">
              <w:rPr>
                <w:rFonts w:cs="Garamond"/>
                <w:color w:val="000000"/>
                <w:sz w:val="20"/>
                <w:szCs w:val="20"/>
              </w:rPr>
              <w:t xml:space="preserve">. Elles sont réalisées sous forme de PowerPoint mettant en avant les points saillants. </w:t>
            </w:r>
          </w:p>
        </w:tc>
      </w:tr>
      <w:tr w:rsidR="00527B3B" w:rsidRPr="00563214" w:rsidTr="00527B3B">
        <w:tblPrEx>
          <w:tblBorders>
            <w:top w:val="nil"/>
            <w:left w:val="nil"/>
            <w:bottom w:val="nil"/>
            <w:right w:val="nil"/>
            <w:insideH w:val="none" w:sz="0" w:space="0" w:color="auto"/>
            <w:insideV w:val="none" w:sz="0" w:space="0" w:color="auto"/>
          </w:tblBorders>
        </w:tblPrEx>
        <w:trPr>
          <w:trHeight w:val="368"/>
        </w:trPr>
        <w:tc>
          <w:tcPr>
            <w:tcW w:w="2268" w:type="dxa"/>
            <w:vMerge/>
            <w:tcBorders>
              <w:top w:val="single" w:sz="4" w:space="0" w:color="auto"/>
              <w:left w:val="single" w:sz="4" w:space="0" w:color="auto"/>
              <w:bottom w:val="single" w:sz="4" w:space="0" w:color="auto"/>
              <w:right w:val="single" w:sz="4" w:space="0" w:color="auto"/>
            </w:tcBorders>
          </w:tcPr>
          <w:p w:rsidR="00527B3B" w:rsidRPr="00563214" w:rsidRDefault="00527B3B" w:rsidP="008D5C87">
            <w:pPr>
              <w:autoSpaceDE w:val="0"/>
              <w:autoSpaceDN w:val="0"/>
              <w:adjustRightInd w:val="0"/>
              <w:spacing w:after="0" w:line="240" w:lineRule="auto"/>
              <w:rPr>
                <w:rFonts w:cs="Garamond"/>
                <w:b/>
                <w:bCs/>
                <w:color w:val="000000"/>
                <w:sz w:val="20"/>
                <w:szCs w:val="20"/>
              </w:rPr>
            </w:pPr>
          </w:p>
        </w:tc>
        <w:tc>
          <w:tcPr>
            <w:tcW w:w="6877" w:type="dxa"/>
            <w:tcBorders>
              <w:top w:val="single" w:sz="4" w:space="0" w:color="auto"/>
              <w:left w:val="single" w:sz="4" w:space="0" w:color="auto"/>
              <w:bottom w:val="single" w:sz="4" w:space="0" w:color="auto"/>
              <w:right w:val="single" w:sz="4" w:space="0" w:color="auto"/>
            </w:tcBorders>
          </w:tcPr>
          <w:p w:rsidR="00527B3B" w:rsidRPr="008D5C87" w:rsidRDefault="00527B3B" w:rsidP="00527B3B">
            <w:pPr>
              <w:autoSpaceDE w:val="0"/>
              <w:autoSpaceDN w:val="0"/>
              <w:adjustRightInd w:val="0"/>
              <w:spacing w:after="0" w:line="240" w:lineRule="auto"/>
              <w:rPr>
                <w:rFonts w:cs="Garamond"/>
                <w:color w:val="000000"/>
                <w:sz w:val="20"/>
                <w:szCs w:val="20"/>
              </w:rPr>
            </w:pPr>
            <w:r w:rsidRPr="008D5C87">
              <w:rPr>
                <w:rFonts w:cs="Garamond"/>
                <w:b/>
                <w:bCs/>
                <w:color w:val="000000"/>
                <w:sz w:val="20"/>
                <w:szCs w:val="20"/>
              </w:rPr>
              <w:t>Audit |</w:t>
            </w:r>
            <w:r w:rsidRPr="008D5C87">
              <w:rPr>
                <w:rFonts w:cs="Garamond"/>
                <w:color w:val="000000"/>
                <w:sz w:val="20"/>
                <w:szCs w:val="20"/>
              </w:rPr>
              <w:t xml:space="preserve">Un seul audit du </w:t>
            </w:r>
            <w:r w:rsidRPr="00563214">
              <w:rPr>
                <w:rFonts w:cs="Garamond"/>
                <w:color w:val="000000"/>
                <w:sz w:val="20"/>
                <w:szCs w:val="20"/>
              </w:rPr>
              <w:t>programme a été effectué en 2013</w:t>
            </w:r>
            <w:r w:rsidRPr="008D5C87">
              <w:rPr>
                <w:rFonts w:cs="Garamond"/>
                <w:color w:val="000000"/>
                <w:sz w:val="20"/>
                <w:szCs w:val="20"/>
              </w:rPr>
              <w:t xml:space="preserve"> par la cour des comptes. </w:t>
            </w:r>
          </w:p>
        </w:tc>
      </w:tr>
      <w:tr w:rsidR="00527B3B" w:rsidRPr="00563214" w:rsidTr="00527B3B">
        <w:tblPrEx>
          <w:tblBorders>
            <w:top w:val="nil"/>
            <w:left w:val="nil"/>
            <w:bottom w:val="nil"/>
            <w:right w:val="nil"/>
            <w:insideH w:val="none" w:sz="0" w:space="0" w:color="auto"/>
            <w:insideV w:val="none" w:sz="0" w:space="0" w:color="auto"/>
          </w:tblBorders>
        </w:tblPrEx>
        <w:trPr>
          <w:trHeight w:val="712"/>
        </w:trPr>
        <w:tc>
          <w:tcPr>
            <w:tcW w:w="2268" w:type="dxa"/>
            <w:vMerge/>
            <w:tcBorders>
              <w:top w:val="single" w:sz="4" w:space="0" w:color="auto"/>
              <w:left w:val="single" w:sz="4" w:space="0" w:color="auto"/>
              <w:bottom w:val="single" w:sz="4" w:space="0" w:color="auto"/>
              <w:right w:val="single" w:sz="4" w:space="0" w:color="auto"/>
            </w:tcBorders>
          </w:tcPr>
          <w:p w:rsidR="00527B3B" w:rsidRPr="00563214" w:rsidRDefault="00527B3B" w:rsidP="008D5C87">
            <w:pPr>
              <w:autoSpaceDE w:val="0"/>
              <w:autoSpaceDN w:val="0"/>
              <w:adjustRightInd w:val="0"/>
              <w:spacing w:after="0" w:line="240" w:lineRule="auto"/>
              <w:rPr>
                <w:rFonts w:cs="Garamond"/>
                <w:b/>
                <w:bCs/>
                <w:color w:val="000000"/>
                <w:sz w:val="20"/>
                <w:szCs w:val="20"/>
              </w:rPr>
            </w:pPr>
          </w:p>
        </w:tc>
        <w:tc>
          <w:tcPr>
            <w:tcW w:w="6877" w:type="dxa"/>
            <w:tcBorders>
              <w:top w:val="single" w:sz="4" w:space="0" w:color="auto"/>
              <w:left w:val="single" w:sz="4" w:space="0" w:color="auto"/>
              <w:bottom w:val="single" w:sz="4" w:space="0" w:color="auto"/>
              <w:right w:val="single" w:sz="4" w:space="0" w:color="auto"/>
            </w:tcBorders>
          </w:tcPr>
          <w:p w:rsidR="00527B3B" w:rsidRPr="008D5C87" w:rsidRDefault="00527B3B" w:rsidP="00527B3B">
            <w:pPr>
              <w:autoSpaceDE w:val="0"/>
              <w:autoSpaceDN w:val="0"/>
              <w:adjustRightInd w:val="0"/>
              <w:spacing w:after="0" w:line="240" w:lineRule="auto"/>
              <w:rPr>
                <w:rFonts w:cs="Garamond"/>
                <w:color w:val="000000"/>
                <w:sz w:val="20"/>
                <w:szCs w:val="20"/>
              </w:rPr>
            </w:pPr>
            <w:r w:rsidRPr="008D5C87">
              <w:rPr>
                <w:rFonts w:cs="Garamond"/>
                <w:b/>
                <w:bCs/>
                <w:color w:val="000000"/>
                <w:sz w:val="20"/>
                <w:szCs w:val="20"/>
              </w:rPr>
              <w:t xml:space="preserve">Rapports combinés sur l'exécution | </w:t>
            </w:r>
            <w:r w:rsidRPr="008D5C87">
              <w:rPr>
                <w:rFonts w:cs="Garamond"/>
                <w:color w:val="000000"/>
                <w:sz w:val="20"/>
                <w:szCs w:val="20"/>
              </w:rPr>
              <w:t>des rapports de l’évaluation financière des activités du projet sont réalisés de manière structurée pour les années</w:t>
            </w:r>
            <w:r w:rsidRPr="00563214">
              <w:rPr>
                <w:rFonts w:cs="Garamond"/>
                <w:color w:val="000000"/>
                <w:sz w:val="20"/>
                <w:szCs w:val="20"/>
              </w:rPr>
              <w:t xml:space="preserve"> 2012,</w:t>
            </w:r>
            <w:r w:rsidRPr="008D5C87">
              <w:rPr>
                <w:rFonts w:cs="Garamond"/>
                <w:color w:val="000000"/>
                <w:sz w:val="20"/>
                <w:szCs w:val="20"/>
              </w:rPr>
              <w:t xml:space="preserve"> 2013</w:t>
            </w:r>
            <w:r w:rsidRPr="00563214">
              <w:rPr>
                <w:rFonts w:cs="Garamond"/>
                <w:color w:val="000000"/>
                <w:sz w:val="20"/>
                <w:szCs w:val="20"/>
              </w:rPr>
              <w:t xml:space="preserve"> et 2014</w:t>
            </w:r>
            <w:r w:rsidRPr="008D5C87">
              <w:rPr>
                <w:rFonts w:cs="Garamond"/>
                <w:color w:val="000000"/>
                <w:sz w:val="20"/>
                <w:szCs w:val="20"/>
              </w:rPr>
              <w:t xml:space="preserve">. </w:t>
            </w:r>
          </w:p>
        </w:tc>
      </w:tr>
      <w:tr w:rsidR="00527B3B" w:rsidRPr="00563214" w:rsidTr="00FA631C">
        <w:tblPrEx>
          <w:tblBorders>
            <w:top w:val="nil"/>
            <w:left w:val="nil"/>
            <w:bottom w:val="nil"/>
            <w:right w:val="nil"/>
            <w:insideH w:val="none" w:sz="0" w:space="0" w:color="auto"/>
            <w:insideV w:val="none" w:sz="0" w:space="0" w:color="auto"/>
          </w:tblBorders>
        </w:tblPrEx>
        <w:trPr>
          <w:trHeight w:val="378"/>
        </w:trPr>
        <w:tc>
          <w:tcPr>
            <w:tcW w:w="2268" w:type="dxa"/>
            <w:vMerge w:val="restart"/>
            <w:tcBorders>
              <w:top w:val="single" w:sz="4" w:space="0" w:color="auto"/>
              <w:left w:val="single" w:sz="4" w:space="0" w:color="auto"/>
              <w:right w:val="single" w:sz="4" w:space="0" w:color="auto"/>
            </w:tcBorders>
          </w:tcPr>
          <w:p w:rsidR="00527B3B" w:rsidRPr="00563214" w:rsidRDefault="00527B3B" w:rsidP="008D5C87">
            <w:pPr>
              <w:autoSpaceDE w:val="0"/>
              <w:autoSpaceDN w:val="0"/>
              <w:adjustRightInd w:val="0"/>
              <w:spacing w:after="0" w:line="240" w:lineRule="auto"/>
              <w:rPr>
                <w:rFonts w:cs="Garamond"/>
                <w:b/>
                <w:bCs/>
                <w:color w:val="000000"/>
                <w:sz w:val="20"/>
                <w:szCs w:val="20"/>
              </w:rPr>
            </w:pPr>
          </w:p>
          <w:p w:rsidR="00527B3B" w:rsidRPr="00563214" w:rsidRDefault="00527B3B" w:rsidP="008D5C87">
            <w:pPr>
              <w:autoSpaceDE w:val="0"/>
              <w:autoSpaceDN w:val="0"/>
              <w:adjustRightInd w:val="0"/>
              <w:spacing w:after="0" w:line="240" w:lineRule="auto"/>
              <w:rPr>
                <w:rFonts w:cs="Garamond"/>
                <w:b/>
                <w:bCs/>
                <w:color w:val="000000"/>
                <w:sz w:val="20"/>
                <w:szCs w:val="20"/>
              </w:rPr>
            </w:pPr>
          </w:p>
          <w:p w:rsidR="00527B3B" w:rsidRPr="008D5C87" w:rsidRDefault="00527B3B" w:rsidP="00527B3B">
            <w:pPr>
              <w:autoSpaceDE w:val="0"/>
              <w:autoSpaceDN w:val="0"/>
              <w:adjustRightInd w:val="0"/>
              <w:spacing w:after="0" w:line="240" w:lineRule="auto"/>
              <w:jc w:val="center"/>
              <w:rPr>
                <w:rFonts w:cs="Garamond"/>
                <w:color w:val="000000"/>
                <w:sz w:val="20"/>
                <w:szCs w:val="20"/>
              </w:rPr>
            </w:pPr>
            <w:r w:rsidRPr="008D5C87">
              <w:rPr>
                <w:rFonts w:cs="Garamond"/>
                <w:b/>
                <w:bCs/>
                <w:color w:val="000000"/>
                <w:sz w:val="20"/>
                <w:szCs w:val="20"/>
              </w:rPr>
              <w:t>Evaluation</w:t>
            </w:r>
          </w:p>
        </w:tc>
        <w:tc>
          <w:tcPr>
            <w:tcW w:w="6877" w:type="dxa"/>
            <w:tcBorders>
              <w:top w:val="single" w:sz="4" w:space="0" w:color="auto"/>
              <w:left w:val="single" w:sz="4" w:space="0" w:color="auto"/>
              <w:bottom w:val="single" w:sz="4" w:space="0" w:color="auto"/>
              <w:right w:val="single" w:sz="4" w:space="0" w:color="auto"/>
            </w:tcBorders>
          </w:tcPr>
          <w:p w:rsidR="00527B3B" w:rsidRPr="008D5C87" w:rsidRDefault="000D56EB" w:rsidP="000D56EB">
            <w:pPr>
              <w:autoSpaceDE w:val="0"/>
              <w:autoSpaceDN w:val="0"/>
              <w:adjustRightInd w:val="0"/>
              <w:spacing w:after="0" w:line="240" w:lineRule="auto"/>
              <w:rPr>
                <w:rFonts w:cs="Garamond"/>
                <w:color w:val="000000"/>
                <w:sz w:val="20"/>
                <w:szCs w:val="20"/>
              </w:rPr>
            </w:pPr>
            <w:r>
              <w:rPr>
                <w:rFonts w:cs="Garamond"/>
                <w:b/>
                <w:bCs/>
                <w:color w:val="000000"/>
                <w:sz w:val="20"/>
                <w:szCs w:val="20"/>
              </w:rPr>
              <w:t>Revue</w:t>
            </w:r>
            <w:r w:rsidR="00527B3B" w:rsidRPr="008D5C87">
              <w:rPr>
                <w:rFonts w:cs="Garamond"/>
                <w:b/>
                <w:bCs/>
                <w:color w:val="000000"/>
                <w:sz w:val="20"/>
                <w:szCs w:val="20"/>
              </w:rPr>
              <w:t xml:space="preserve"> à mi-parcours | </w:t>
            </w:r>
            <w:r w:rsidRPr="000D56EB">
              <w:rPr>
                <w:rFonts w:cs="Garamond"/>
                <w:bCs/>
                <w:color w:val="000000"/>
                <w:sz w:val="20"/>
                <w:szCs w:val="20"/>
              </w:rPr>
              <w:t xml:space="preserve">les mécanismes de gouvernance du projet prévoient une revue </w:t>
            </w:r>
            <w:r w:rsidR="00E257F4" w:rsidRPr="000D56EB">
              <w:rPr>
                <w:rFonts w:cs="Garamond"/>
                <w:bCs/>
                <w:color w:val="000000"/>
                <w:sz w:val="20"/>
                <w:szCs w:val="20"/>
              </w:rPr>
              <w:t>mi- annuelle</w:t>
            </w:r>
            <w:r w:rsidRPr="000D56EB">
              <w:rPr>
                <w:rFonts w:cs="Garamond"/>
                <w:bCs/>
                <w:color w:val="000000"/>
                <w:sz w:val="20"/>
                <w:szCs w:val="20"/>
              </w:rPr>
              <w:t xml:space="preserve"> et une revue annuelle</w:t>
            </w:r>
            <w:r>
              <w:rPr>
                <w:rFonts w:cs="Garamond"/>
                <w:b/>
                <w:bCs/>
                <w:color w:val="000000"/>
                <w:sz w:val="20"/>
                <w:szCs w:val="20"/>
              </w:rPr>
              <w:t>. La revue à mi-parcours</w:t>
            </w:r>
            <w:r w:rsidR="00527B3B" w:rsidRPr="008D5C87">
              <w:rPr>
                <w:rFonts w:cs="Garamond"/>
                <w:color w:val="000000"/>
                <w:sz w:val="20"/>
                <w:szCs w:val="20"/>
              </w:rPr>
              <w:t xml:space="preserve"> prévue </w:t>
            </w:r>
            <w:r w:rsidR="00527B3B" w:rsidRPr="00563214">
              <w:rPr>
                <w:rFonts w:cs="Garamond"/>
                <w:color w:val="000000"/>
                <w:sz w:val="20"/>
                <w:szCs w:val="20"/>
              </w:rPr>
              <w:t>au ProDocn’a pas été réalisée</w:t>
            </w:r>
            <w:r w:rsidR="00527B3B" w:rsidRPr="008D5C87">
              <w:rPr>
                <w:rFonts w:cs="Garamond"/>
                <w:color w:val="000000"/>
                <w:sz w:val="20"/>
                <w:szCs w:val="20"/>
              </w:rPr>
              <w:t xml:space="preserve">. </w:t>
            </w:r>
          </w:p>
        </w:tc>
      </w:tr>
      <w:tr w:rsidR="00527B3B" w:rsidRPr="00563214" w:rsidTr="00FA631C">
        <w:tblPrEx>
          <w:tblBorders>
            <w:top w:val="nil"/>
            <w:left w:val="nil"/>
            <w:bottom w:val="nil"/>
            <w:right w:val="nil"/>
            <w:insideH w:val="none" w:sz="0" w:space="0" w:color="auto"/>
            <w:insideV w:val="none" w:sz="0" w:space="0" w:color="auto"/>
          </w:tblBorders>
        </w:tblPrEx>
        <w:trPr>
          <w:trHeight w:val="378"/>
        </w:trPr>
        <w:tc>
          <w:tcPr>
            <w:tcW w:w="2268" w:type="dxa"/>
            <w:vMerge/>
            <w:tcBorders>
              <w:left w:val="single" w:sz="4" w:space="0" w:color="auto"/>
              <w:bottom w:val="single" w:sz="4" w:space="0" w:color="auto"/>
              <w:right w:val="single" w:sz="4" w:space="0" w:color="auto"/>
            </w:tcBorders>
          </w:tcPr>
          <w:p w:rsidR="00527B3B" w:rsidRPr="00563214" w:rsidRDefault="00527B3B" w:rsidP="008D5C87">
            <w:pPr>
              <w:autoSpaceDE w:val="0"/>
              <w:autoSpaceDN w:val="0"/>
              <w:adjustRightInd w:val="0"/>
              <w:spacing w:after="0" w:line="240" w:lineRule="auto"/>
              <w:rPr>
                <w:rFonts w:cs="Garamond"/>
                <w:b/>
                <w:bCs/>
                <w:color w:val="000000"/>
                <w:sz w:val="20"/>
                <w:szCs w:val="20"/>
              </w:rPr>
            </w:pPr>
          </w:p>
        </w:tc>
        <w:tc>
          <w:tcPr>
            <w:tcW w:w="6877" w:type="dxa"/>
            <w:tcBorders>
              <w:top w:val="single" w:sz="4" w:space="0" w:color="auto"/>
              <w:left w:val="single" w:sz="4" w:space="0" w:color="auto"/>
              <w:bottom w:val="single" w:sz="4" w:space="0" w:color="auto"/>
              <w:right w:val="single" w:sz="4" w:space="0" w:color="auto"/>
            </w:tcBorders>
          </w:tcPr>
          <w:p w:rsidR="00527B3B" w:rsidRPr="008D5C87" w:rsidRDefault="00527B3B" w:rsidP="00527B3B">
            <w:pPr>
              <w:autoSpaceDE w:val="0"/>
              <w:autoSpaceDN w:val="0"/>
              <w:adjustRightInd w:val="0"/>
              <w:spacing w:after="0" w:line="240" w:lineRule="auto"/>
              <w:rPr>
                <w:rFonts w:cs="Garamond"/>
                <w:color w:val="000000"/>
                <w:sz w:val="20"/>
                <w:szCs w:val="20"/>
              </w:rPr>
            </w:pPr>
            <w:r w:rsidRPr="008D5C87">
              <w:rPr>
                <w:rFonts w:cs="Garamond"/>
                <w:b/>
                <w:bCs/>
                <w:color w:val="000000"/>
                <w:sz w:val="20"/>
                <w:szCs w:val="20"/>
              </w:rPr>
              <w:t xml:space="preserve">Evaluation finale | </w:t>
            </w:r>
            <w:r w:rsidRPr="008D5C87">
              <w:rPr>
                <w:rFonts w:cs="Garamond"/>
                <w:color w:val="000000"/>
                <w:sz w:val="20"/>
                <w:szCs w:val="20"/>
              </w:rPr>
              <w:t xml:space="preserve">l’évaluation finale du projet planifiée pour la fin de la mise en </w:t>
            </w:r>
            <w:r w:rsidRPr="00563214">
              <w:rPr>
                <w:rFonts w:cs="Garamond"/>
                <w:color w:val="000000"/>
                <w:sz w:val="20"/>
                <w:szCs w:val="20"/>
              </w:rPr>
              <w:t>œuvre</w:t>
            </w:r>
            <w:r w:rsidRPr="008D5C87">
              <w:rPr>
                <w:rFonts w:cs="Garamond"/>
                <w:color w:val="000000"/>
                <w:sz w:val="20"/>
                <w:szCs w:val="20"/>
              </w:rPr>
              <w:t xml:space="preserve"> du projet a été lancé</w:t>
            </w:r>
            <w:r w:rsidR="000D56EB">
              <w:rPr>
                <w:rFonts w:cs="Garamond"/>
                <w:color w:val="000000"/>
                <w:sz w:val="20"/>
                <w:szCs w:val="20"/>
              </w:rPr>
              <w:t>e</w:t>
            </w:r>
            <w:r w:rsidRPr="008D5C87">
              <w:rPr>
                <w:rFonts w:cs="Garamond"/>
                <w:color w:val="000000"/>
                <w:sz w:val="20"/>
                <w:szCs w:val="20"/>
              </w:rPr>
              <w:t xml:space="preserve"> en </w:t>
            </w:r>
            <w:r w:rsidRPr="00563214">
              <w:rPr>
                <w:rFonts w:cs="Garamond"/>
                <w:color w:val="000000"/>
                <w:sz w:val="20"/>
                <w:szCs w:val="20"/>
              </w:rPr>
              <w:t>avril 2015</w:t>
            </w:r>
            <w:r w:rsidRPr="008D5C87">
              <w:rPr>
                <w:rFonts w:cs="Garamond"/>
                <w:color w:val="000000"/>
                <w:sz w:val="20"/>
                <w:szCs w:val="20"/>
              </w:rPr>
              <w:t xml:space="preserve">. </w:t>
            </w:r>
          </w:p>
        </w:tc>
      </w:tr>
    </w:tbl>
    <w:p w:rsidR="00F579E5" w:rsidRDefault="00F579E5" w:rsidP="008118DB">
      <w:pPr>
        <w:autoSpaceDE w:val="0"/>
        <w:autoSpaceDN w:val="0"/>
        <w:adjustRightInd w:val="0"/>
        <w:spacing w:after="0" w:line="240" w:lineRule="auto"/>
        <w:jc w:val="both"/>
        <w:rPr>
          <w:rFonts w:cs="ACaslonPro-Regula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2113"/>
        <w:gridCol w:w="18"/>
      </w:tblGrid>
      <w:tr w:rsidR="001966B3" w:rsidRPr="001966B3" w:rsidTr="00563214">
        <w:trPr>
          <w:gridAfter w:val="1"/>
          <w:wAfter w:w="18" w:type="dxa"/>
          <w:trHeight w:val="101"/>
        </w:trPr>
        <w:tc>
          <w:tcPr>
            <w:tcW w:w="5070" w:type="dxa"/>
          </w:tcPr>
          <w:p w:rsidR="001966B3" w:rsidRPr="001966B3" w:rsidRDefault="001966B3" w:rsidP="001966B3">
            <w:pPr>
              <w:autoSpaceDE w:val="0"/>
              <w:autoSpaceDN w:val="0"/>
              <w:adjustRightInd w:val="0"/>
              <w:spacing w:after="0" w:line="240" w:lineRule="auto"/>
              <w:rPr>
                <w:rFonts w:cs="Garamond"/>
                <w:color w:val="000000"/>
              </w:rPr>
            </w:pPr>
            <w:r w:rsidRPr="001966B3">
              <w:rPr>
                <w:rFonts w:cs="Garamond"/>
                <w:color w:val="000000"/>
              </w:rPr>
              <w:t xml:space="preserve">Conception du suivi et de l’évaluation à l’entrée </w:t>
            </w:r>
          </w:p>
        </w:tc>
        <w:tc>
          <w:tcPr>
            <w:tcW w:w="2113" w:type="dxa"/>
          </w:tcPr>
          <w:p w:rsidR="001966B3" w:rsidRPr="001966B3" w:rsidRDefault="0023276F" w:rsidP="001966B3">
            <w:pPr>
              <w:autoSpaceDE w:val="0"/>
              <w:autoSpaceDN w:val="0"/>
              <w:adjustRightInd w:val="0"/>
              <w:spacing w:after="0" w:line="240" w:lineRule="auto"/>
              <w:rPr>
                <w:rFonts w:cs="Garamond"/>
                <w:color w:val="000000"/>
              </w:rPr>
            </w:pPr>
            <w:r w:rsidRPr="00563214">
              <w:rPr>
                <w:rFonts w:cs="Garamond"/>
                <w:b/>
                <w:bCs/>
                <w:color w:val="000000"/>
              </w:rPr>
              <w:t>Satisfaisant (</w:t>
            </w:r>
            <w:r w:rsidR="001966B3" w:rsidRPr="001966B3">
              <w:rPr>
                <w:rFonts w:cs="Garamond"/>
                <w:b/>
                <w:bCs/>
                <w:color w:val="000000"/>
              </w:rPr>
              <w:t xml:space="preserve">S) </w:t>
            </w:r>
          </w:p>
        </w:tc>
      </w:tr>
      <w:tr w:rsidR="001966B3" w:rsidRPr="001966B3" w:rsidTr="00563214">
        <w:trPr>
          <w:trHeight w:val="101"/>
        </w:trPr>
        <w:tc>
          <w:tcPr>
            <w:tcW w:w="5070" w:type="dxa"/>
          </w:tcPr>
          <w:p w:rsidR="001966B3" w:rsidRPr="001966B3" w:rsidRDefault="001966B3" w:rsidP="001966B3">
            <w:pPr>
              <w:autoSpaceDE w:val="0"/>
              <w:autoSpaceDN w:val="0"/>
              <w:adjustRightInd w:val="0"/>
              <w:spacing w:after="0" w:line="240" w:lineRule="auto"/>
              <w:rPr>
                <w:rFonts w:cs="Garamond"/>
                <w:color w:val="000000"/>
              </w:rPr>
            </w:pPr>
            <w:r w:rsidRPr="001966B3">
              <w:rPr>
                <w:rFonts w:cs="Garamond"/>
                <w:color w:val="000000"/>
              </w:rPr>
              <w:t xml:space="preserve">Mise en </w:t>
            </w:r>
            <w:r w:rsidR="0023276F" w:rsidRPr="00563214">
              <w:rPr>
                <w:rFonts w:cs="Garamond"/>
                <w:color w:val="000000"/>
              </w:rPr>
              <w:t>œuvre</w:t>
            </w:r>
            <w:r w:rsidRPr="001966B3">
              <w:rPr>
                <w:rFonts w:cs="Garamond"/>
                <w:color w:val="000000"/>
              </w:rPr>
              <w:t xml:space="preserve"> du plan de suivi et de l’évaluation </w:t>
            </w:r>
          </w:p>
        </w:tc>
        <w:tc>
          <w:tcPr>
            <w:tcW w:w="2131" w:type="dxa"/>
            <w:gridSpan w:val="2"/>
          </w:tcPr>
          <w:p w:rsidR="001966B3" w:rsidRPr="001966B3" w:rsidRDefault="001966B3" w:rsidP="001966B3">
            <w:pPr>
              <w:autoSpaceDE w:val="0"/>
              <w:autoSpaceDN w:val="0"/>
              <w:adjustRightInd w:val="0"/>
              <w:spacing w:after="0" w:line="240" w:lineRule="auto"/>
              <w:rPr>
                <w:rFonts w:cs="Garamond"/>
                <w:color w:val="000000"/>
              </w:rPr>
            </w:pPr>
            <w:r w:rsidRPr="001966B3">
              <w:rPr>
                <w:rFonts w:cs="Garamond"/>
                <w:b/>
                <w:bCs/>
                <w:color w:val="000000"/>
              </w:rPr>
              <w:t xml:space="preserve">Satisfaisant (S) </w:t>
            </w:r>
          </w:p>
        </w:tc>
      </w:tr>
      <w:tr w:rsidR="001966B3" w:rsidRPr="001966B3" w:rsidTr="00563214">
        <w:trPr>
          <w:trHeight w:val="101"/>
        </w:trPr>
        <w:tc>
          <w:tcPr>
            <w:tcW w:w="5070" w:type="dxa"/>
          </w:tcPr>
          <w:p w:rsidR="001966B3" w:rsidRPr="001966B3" w:rsidRDefault="001966B3" w:rsidP="0023276F">
            <w:pPr>
              <w:autoSpaceDE w:val="0"/>
              <w:autoSpaceDN w:val="0"/>
              <w:adjustRightInd w:val="0"/>
              <w:spacing w:after="0" w:line="240" w:lineRule="auto"/>
              <w:rPr>
                <w:rFonts w:cs="Garamond"/>
                <w:color w:val="000000"/>
              </w:rPr>
            </w:pPr>
            <w:r w:rsidRPr="001966B3">
              <w:rPr>
                <w:rFonts w:cs="Garamond"/>
                <w:color w:val="000000"/>
              </w:rPr>
              <w:t xml:space="preserve">Qualité globale du suivi et del’évaluation </w:t>
            </w:r>
          </w:p>
        </w:tc>
        <w:tc>
          <w:tcPr>
            <w:tcW w:w="2131" w:type="dxa"/>
            <w:gridSpan w:val="2"/>
          </w:tcPr>
          <w:p w:rsidR="001966B3" w:rsidRPr="001966B3" w:rsidRDefault="001966B3" w:rsidP="001966B3">
            <w:pPr>
              <w:autoSpaceDE w:val="0"/>
              <w:autoSpaceDN w:val="0"/>
              <w:adjustRightInd w:val="0"/>
              <w:spacing w:after="0" w:line="240" w:lineRule="auto"/>
              <w:rPr>
                <w:rFonts w:cs="Garamond"/>
                <w:color w:val="000000"/>
              </w:rPr>
            </w:pPr>
            <w:r w:rsidRPr="001966B3">
              <w:rPr>
                <w:rFonts w:cs="Garamond"/>
                <w:b/>
                <w:bCs/>
                <w:color w:val="000000"/>
              </w:rPr>
              <w:t xml:space="preserve">Satisfaisant (S) </w:t>
            </w:r>
          </w:p>
        </w:tc>
      </w:tr>
    </w:tbl>
    <w:p w:rsidR="00AD1A5C" w:rsidRPr="0023276F" w:rsidRDefault="00AD6955" w:rsidP="00AD6955">
      <w:pPr>
        <w:pStyle w:val="Titre3"/>
        <w:spacing w:before="0"/>
        <w:rPr>
          <w:rFonts w:asciiTheme="minorHAnsi" w:hAnsiTheme="minorHAnsi" w:cs="ACaslonPro-Regular"/>
          <w:color w:val="000000"/>
        </w:rPr>
      </w:pPr>
      <w:bookmarkStart w:id="52" w:name="_Toc425414587"/>
      <w:r w:rsidRPr="00AD6955">
        <w:rPr>
          <w:rFonts w:asciiTheme="minorHAnsi" w:hAnsiTheme="minorHAnsi" w:cs="ACaslonPro-Regular"/>
          <w:color w:val="auto"/>
        </w:rPr>
        <w:lastRenderedPageBreak/>
        <w:t xml:space="preserve">III.2.6 </w:t>
      </w:r>
      <w:r w:rsidR="00AD1A5C" w:rsidRPr="00AD6955">
        <w:rPr>
          <w:rFonts w:asciiTheme="minorHAnsi" w:hAnsiTheme="minorHAnsi" w:cs="ACaslonPro-Regular"/>
          <w:color w:val="auto"/>
        </w:rPr>
        <w:t xml:space="preserve">Coordination au niveau de la mise en </w:t>
      </w:r>
      <w:r w:rsidR="0023276F" w:rsidRPr="00AD6955">
        <w:rPr>
          <w:rFonts w:asciiTheme="minorHAnsi" w:hAnsiTheme="minorHAnsi" w:cs="ACaslonPro-Regular"/>
          <w:color w:val="auto"/>
        </w:rPr>
        <w:t>œuvre</w:t>
      </w:r>
      <w:r w:rsidR="00AD1A5C" w:rsidRPr="00AD6955">
        <w:rPr>
          <w:rFonts w:asciiTheme="minorHAnsi" w:hAnsiTheme="minorHAnsi" w:cs="ACaslonPro-Regular"/>
          <w:color w:val="auto"/>
        </w:rPr>
        <w:t xml:space="preserve"> et de l’exécution avec le PNUD et le partenaire </w:t>
      </w:r>
      <w:r w:rsidR="00AD1A5C" w:rsidRPr="0023276F">
        <w:rPr>
          <w:rFonts w:asciiTheme="minorHAnsi" w:hAnsiTheme="minorHAnsi" w:cs="ACaslonPro-Regular"/>
          <w:color w:val="auto"/>
        </w:rPr>
        <w:t xml:space="preserve">de </w:t>
      </w:r>
      <w:r w:rsidR="00AD1A5C" w:rsidRPr="0023276F">
        <w:rPr>
          <w:rFonts w:asciiTheme="minorHAnsi" w:hAnsiTheme="minorHAnsi" w:cs="ACaslonPro-Regular"/>
          <w:color w:val="000000"/>
        </w:rPr>
        <w:t>mise en</w:t>
      </w:r>
      <w:r w:rsidR="0023276F">
        <w:rPr>
          <w:rFonts w:asciiTheme="minorHAnsi" w:hAnsiTheme="minorHAnsi" w:cs="ACaslonPro-Regular"/>
          <w:color w:val="000000"/>
        </w:rPr>
        <w:t>œuvre</w:t>
      </w:r>
      <w:r w:rsidR="00AD1A5C" w:rsidRPr="0023276F">
        <w:rPr>
          <w:rFonts w:asciiTheme="minorHAnsi" w:hAnsiTheme="minorHAnsi" w:cs="ACaslonPro-Regular"/>
          <w:color w:val="000000"/>
        </w:rPr>
        <w:t xml:space="preserve"> et questions opérationnelles</w:t>
      </w:r>
      <w:bookmarkEnd w:id="52"/>
    </w:p>
    <w:p w:rsidR="00563214" w:rsidRPr="00563214" w:rsidRDefault="0023276F" w:rsidP="0023276F">
      <w:pPr>
        <w:pStyle w:val="Default"/>
        <w:jc w:val="both"/>
        <w:rPr>
          <w:rFonts w:asciiTheme="minorHAnsi" w:hAnsiTheme="minorHAnsi" w:cs="ACaslonPro-Regular"/>
          <w:sz w:val="22"/>
          <w:szCs w:val="22"/>
        </w:rPr>
      </w:pPr>
      <w:r w:rsidRPr="00563214">
        <w:rPr>
          <w:rFonts w:asciiTheme="minorHAnsi" w:hAnsiTheme="minorHAnsi" w:cs="ACaslonPro-Regular"/>
          <w:sz w:val="22"/>
          <w:szCs w:val="22"/>
        </w:rPr>
        <w:t xml:space="preserve">Le PNUD met à la disposition du Maroc son expertise internationale en vue de mettre en œuvre des solutions adaptées à la problématique de l’intégration de l’environnement mondial dans la planification stratégique locale. Il a joué un rôle dans la coordination et la mobilisation des acteurs locaux </w:t>
      </w:r>
      <w:r w:rsidR="00563214" w:rsidRPr="00563214">
        <w:rPr>
          <w:rFonts w:asciiTheme="minorHAnsi" w:hAnsiTheme="minorHAnsi" w:cs="ACaslonPro-Regular"/>
          <w:sz w:val="22"/>
          <w:szCs w:val="22"/>
        </w:rPr>
        <w:t xml:space="preserve">(DGCL principalement, et dans une moindre mesure l’INDH) </w:t>
      </w:r>
      <w:r w:rsidRPr="00563214">
        <w:rPr>
          <w:rFonts w:asciiTheme="minorHAnsi" w:hAnsiTheme="minorHAnsi" w:cs="ACaslonPro-Regular"/>
          <w:sz w:val="22"/>
          <w:szCs w:val="22"/>
        </w:rPr>
        <w:t>et des partenaires au niveau international</w:t>
      </w:r>
      <w:r w:rsidR="00563214" w:rsidRPr="00563214">
        <w:rPr>
          <w:rFonts w:asciiTheme="minorHAnsi" w:hAnsiTheme="minorHAnsi" w:cs="ACaslonPro-Regular"/>
          <w:sz w:val="22"/>
          <w:szCs w:val="22"/>
        </w:rPr>
        <w:t xml:space="preserve"> (FEM)</w:t>
      </w:r>
      <w:r w:rsidRPr="00563214">
        <w:rPr>
          <w:rFonts w:asciiTheme="minorHAnsi" w:hAnsiTheme="minorHAnsi" w:cs="ACaslonPro-Regular"/>
          <w:sz w:val="22"/>
          <w:szCs w:val="22"/>
        </w:rPr>
        <w:t xml:space="preserve">. </w:t>
      </w:r>
    </w:p>
    <w:p w:rsidR="0023276F" w:rsidRPr="00563214" w:rsidRDefault="0023276F" w:rsidP="0023276F">
      <w:pPr>
        <w:pStyle w:val="Default"/>
        <w:jc w:val="both"/>
        <w:rPr>
          <w:rFonts w:asciiTheme="minorHAnsi" w:hAnsiTheme="minorHAnsi"/>
          <w:sz w:val="22"/>
          <w:szCs w:val="22"/>
        </w:rPr>
      </w:pPr>
      <w:r w:rsidRPr="00563214">
        <w:rPr>
          <w:rFonts w:asciiTheme="minorHAnsi" w:hAnsiTheme="minorHAnsi" w:cs="ACaslonPro-Regular"/>
          <w:sz w:val="22"/>
          <w:szCs w:val="22"/>
        </w:rPr>
        <w:t xml:space="preserve">Concernant la gestion du projet, le PNUD est partie prenante du Comité de suivi. De ce fait, il a suivi l’avancement des activités du projet sur la base du reporting effectué par l’UGP et participé aux réunions de validation des livrables. Ces implications lui ont permis d’avoir une vision opérationnelle et technique du déroulement du projet ainsi qu’un contrôle des réalisations, de leur qualité et des ajustements à apporter. Sur un autre plan, le PNUD avait la charge d’assurer le paiement des biens et des services acquis dans le cadre du projet en faveur de l’agence </w:t>
      </w:r>
      <w:r w:rsidRPr="00563214">
        <w:rPr>
          <w:rFonts w:asciiTheme="minorHAnsi" w:hAnsiTheme="minorHAnsi"/>
          <w:sz w:val="22"/>
          <w:szCs w:val="22"/>
        </w:rPr>
        <w:t>d’exécution (MDCE) permettant ainsi de garantir la traçabilité des fonds utilisés et la transparence de la gestion des comptes</w:t>
      </w:r>
      <w:r w:rsidRPr="00563214">
        <w:rPr>
          <w:rFonts w:asciiTheme="minorHAnsi" w:hAnsiTheme="minorHAnsi"/>
          <w:i/>
          <w:iCs/>
          <w:sz w:val="22"/>
          <w:szCs w:val="22"/>
        </w:rPr>
        <w:t xml:space="preserve">. </w:t>
      </w:r>
      <w:r w:rsidRPr="00563214">
        <w:rPr>
          <w:rFonts w:asciiTheme="minorHAnsi" w:hAnsiTheme="minorHAnsi"/>
          <w:sz w:val="22"/>
          <w:szCs w:val="22"/>
        </w:rPr>
        <w:t>Sur un plan plus global, l’implication du Bureau du PNUD au Maroc et la réactivité de ses personnes ressources ont constitué des facteurs du succès du projet CB 2.</w:t>
      </w:r>
    </w:p>
    <w:p w:rsidR="0023276F" w:rsidRPr="00563214" w:rsidRDefault="0023276F" w:rsidP="0023276F">
      <w:pPr>
        <w:pStyle w:val="Default"/>
        <w:jc w:val="both"/>
        <w:rPr>
          <w:rFonts w:asciiTheme="minorHAnsi" w:hAnsiTheme="minorHAnsi"/>
          <w:sz w:val="22"/>
          <w:szCs w:val="22"/>
        </w:rPr>
      </w:pPr>
    </w:p>
    <w:p w:rsidR="00563214" w:rsidRDefault="00086D5C" w:rsidP="0023276F">
      <w:pPr>
        <w:autoSpaceDE w:val="0"/>
        <w:autoSpaceDN w:val="0"/>
        <w:adjustRightInd w:val="0"/>
        <w:spacing w:after="0" w:line="240" w:lineRule="auto"/>
        <w:jc w:val="both"/>
        <w:rPr>
          <w:rFonts w:cs="Garamond"/>
          <w:color w:val="000000"/>
        </w:rPr>
      </w:pPr>
      <w:r w:rsidRPr="00086D5C">
        <w:rPr>
          <w:rFonts w:cs="Garamond"/>
          <w:color w:val="000000"/>
        </w:rPr>
        <w:t>En ce qui concerne l’agence de mise en œuvre nationale, elle dispose des connaissances nécessaires du contexte et est en charge, au niveau national, de l’élaboration et la mise en œuvre de la politique nationale en matière d’environnement. Ceci confirme sa légitimité dans l’exécution du projet. L’agence de mise en œuvre a été directement impliquée dans la réalisation du projet à travers l’UGP en assurant le suivi de la mise en œuvre des activités, l’examen et la validation des TdR des prestations de service, les études et travaux planifiés dans le cadre du projet ainsi que le suivi et le contrôle de la qualité des prestations réalisées par les consultants. L’agence de mise en œuvre a été entièrement impliquée dans le projet avec une réelle appropriation. Les directives et les procédures du PNUD pour la gestion de ce type de projet ont été appliquées.</w:t>
      </w:r>
    </w:p>
    <w:p w:rsidR="00086D5C" w:rsidRDefault="00086D5C" w:rsidP="0023276F">
      <w:pPr>
        <w:autoSpaceDE w:val="0"/>
        <w:autoSpaceDN w:val="0"/>
        <w:adjustRightInd w:val="0"/>
        <w:spacing w:after="0" w:line="240" w:lineRule="auto"/>
        <w:jc w:val="both"/>
        <w:rPr>
          <w:rFonts w:cs="Garamond"/>
          <w:color w:val="000000"/>
        </w:rPr>
      </w:pPr>
    </w:p>
    <w:p w:rsidR="00563214" w:rsidRDefault="00563214" w:rsidP="0023276F">
      <w:pPr>
        <w:autoSpaceDE w:val="0"/>
        <w:autoSpaceDN w:val="0"/>
        <w:adjustRightInd w:val="0"/>
        <w:spacing w:after="0" w:line="240" w:lineRule="auto"/>
        <w:jc w:val="both"/>
        <w:rPr>
          <w:rFonts w:cs="Garamond"/>
          <w:color w:val="000000"/>
        </w:rPr>
      </w:pPr>
      <w:r w:rsidRPr="0023276F">
        <w:rPr>
          <w:rFonts w:cs="Garamond"/>
          <w:color w:val="000000"/>
        </w:rPr>
        <w:t>Par ailleurs, l’ensemble des parties prenantes sont tr</w:t>
      </w:r>
      <w:r>
        <w:rPr>
          <w:rFonts w:cs="Garamond"/>
          <w:color w:val="000000"/>
        </w:rPr>
        <w:t>ès satisfaites de la qualité du travail de la coordinatrice nationale du projet</w:t>
      </w:r>
      <w:r w:rsidRPr="0023276F">
        <w:rPr>
          <w:rFonts w:cs="Garamond"/>
          <w:color w:val="000000"/>
        </w:rPr>
        <w:t>. La coordinatrice étant motivée</w:t>
      </w:r>
      <w:r w:rsidR="00B32E35">
        <w:rPr>
          <w:rFonts w:cs="Garamond"/>
          <w:color w:val="000000"/>
        </w:rPr>
        <w:t xml:space="preserve"> et impliquée, et avec l’appui technique efficace et permanent de l’équipe de la DPCC, elle a contribué</w:t>
      </w:r>
      <w:r w:rsidRPr="0023276F">
        <w:rPr>
          <w:rFonts w:cs="Garamond"/>
          <w:color w:val="000000"/>
        </w:rPr>
        <w:t xml:space="preserve"> à la réussite du projet.</w:t>
      </w:r>
    </w:p>
    <w:p w:rsidR="00563214" w:rsidRPr="0023276F" w:rsidRDefault="00563214" w:rsidP="0023276F">
      <w:pPr>
        <w:autoSpaceDE w:val="0"/>
        <w:autoSpaceDN w:val="0"/>
        <w:adjustRightInd w:val="0"/>
        <w:spacing w:after="0" w:line="240" w:lineRule="auto"/>
        <w:jc w:val="both"/>
        <w:rPr>
          <w:rFonts w:cs="Garamond"/>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4"/>
        <w:gridCol w:w="1701"/>
      </w:tblGrid>
      <w:tr w:rsidR="0023276F" w:rsidRPr="0023276F" w:rsidTr="00086D5C">
        <w:trPr>
          <w:trHeight w:val="101"/>
        </w:trPr>
        <w:tc>
          <w:tcPr>
            <w:tcW w:w="6374" w:type="dxa"/>
          </w:tcPr>
          <w:p w:rsidR="0023276F" w:rsidRPr="0023276F" w:rsidRDefault="0023276F" w:rsidP="0023276F">
            <w:pPr>
              <w:autoSpaceDE w:val="0"/>
              <w:autoSpaceDN w:val="0"/>
              <w:adjustRightInd w:val="0"/>
              <w:spacing w:after="0" w:line="240" w:lineRule="auto"/>
              <w:rPr>
                <w:rFonts w:cs="Garamond"/>
                <w:color w:val="000000"/>
              </w:rPr>
            </w:pPr>
            <w:r w:rsidRPr="0023276F">
              <w:rPr>
                <w:rFonts w:cs="Garamond"/>
                <w:color w:val="000000"/>
              </w:rPr>
              <w:t xml:space="preserve">Qualité de mise en </w:t>
            </w:r>
            <w:r w:rsidR="00563214" w:rsidRPr="00563214">
              <w:rPr>
                <w:rFonts w:cs="Garamond"/>
                <w:color w:val="000000"/>
              </w:rPr>
              <w:t>œuvre</w:t>
            </w:r>
            <w:r w:rsidRPr="0023276F">
              <w:rPr>
                <w:rFonts w:cs="Garamond"/>
                <w:color w:val="000000"/>
              </w:rPr>
              <w:t xml:space="preserve"> par le PNUD </w:t>
            </w:r>
          </w:p>
        </w:tc>
        <w:tc>
          <w:tcPr>
            <w:tcW w:w="1701" w:type="dxa"/>
          </w:tcPr>
          <w:p w:rsidR="0023276F" w:rsidRPr="0023276F" w:rsidRDefault="006B0345" w:rsidP="006B0345">
            <w:pPr>
              <w:autoSpaceDE w:val="0"/>
              <w:autoSpaceDN w:val="0"/>
              <w:adjustRightInd w:val="0"/>
              <w:spacing w:after="0" w:line="240" w:lineRule="auto"/>
              <w:rPr>
                <w:rFonts w:cs="Garamond"/>
                <w:color w:val="000000"/>
              </w:rPr>
            </w:pPr>
            <w:r>
              <w:rPr>
                <w:rFonts w:cs="Garamond"/>
                <w:b/>
                <w:bCs/>
                <w:color w:val="000000"/>
              </w:rPr>
              <w:t>S</w:t>
            </w:r>
            <w:r w:rsidR="0023276F" w:rsidRPr="0023276F">
              <w:rPr>
                <w:rFonts w:cs="Garamond"/>
                <w:b/>
                <w:bCs/>
                <w:color w:val="000000"/>
              </w:rPr>
              <w:t xml:space="preserve">atisfaisant (S) </w:t>
            </w:r>
          </w:p>
        </w:tc>
      </w:tr>
      <w:tr w:rsidR="00563214" w:rsidRPr="00563214" w:rsidTr="00086D5C">
        <w:trPr>
          <w:trHeight w:val="101"/>
        </w:trPr>
        <w:tc>
          <w:tcPr>
            <w:tcW w:w="6374" w:type="dxa"/>
          </w:tcPr>
          <w:p w:rsidR="00563214" w:rsidRPr="00563214" w:rsidRDefault="00086D5C" w:rsidP="00563214">
            <w:pPr>
              <w:autoSpaceDE w:val="0"/>
              <w:autoSpaceDN w:val="0"/>
              <w:adjustRightInd w:val="0"/>
              <w:spacing w:after="0" w:line="240" w:lineRule="auto"/>
              <w:rPr>
                <w:rFonts w:cs="Garamond"/>
                <w:color w:val="000000"/>
              </w:rPr>
            </w:pPr>
            <w:r w:rsidRPr="00086D5C">
              <w:rPr>
                <w:rFonts w:cs="Garamond"/>
                <w:color w:val="000000"/>
              </w:rPr>
              <w:t>Qualité de mise en œuvre par l’agence de mise en œuvre nationale</w:t>
            </w:r>
          </w:p>
        </w:tc>
        <w:tc>
          <w:tcPr>
            <w:tcW w:w="1701" w:type="dxa"/>
          </w:tcPr>
          <w:p w:rsidR="00563214" w:rsidRPr="00563214" w:rsidRDefault="006B0345" w:rsidP="006B0345">
            <w:pPr>
              <w:autoSpaceDE w:val="0"/>
              <w:autoSpaceDN w:val="0"/>
              <w:adjustRightInd w:val="0"/>
              <w:spacing w:after="0" w:line="240" w:lineRule="auto"/>
              <w:rPr>
                <w:rFonts w:cs="Garamond"/>
                <w:b/>
                <w:bCs/>
                <w:color w:val="000000"/>
              </w:rPr>
            </w:pPr>
            <w:r>
              <w:rPr>
                <w:rFonts w:cs="Garamond"/>
                <w:b/>
                <w:bCs/>
                <w:color w:val="000000"/>
              </w:rPr>
              <w:t>S</w:t>
            </w:r>
            <w:r w:rsidR="00563214" w:rsidRPr="00563214">
              <w:rPr>
                <w:rFonts w:cs="Garamond"/>
                <w:b/>
                <w:bCs/>
                <w:color w:val="000000"/>
              </w:rPr>
              <w:t>atisfaisant (S)</w:t>
            </w:r>
          </w:p>
        </w:tc>
      </w:tr>
      <w:tr w:rsidR="00563214" w:rsidRPr="00563214" w:rsidTr="00086D5C">
        <w:trPr>
          <w:trHeight w:val="101"/>
        </w:trPr>
        <w:tc>
          <w:tcPr>
            <w:tcW w:w="6374" w:type="dxa"/>
          </w:tcPr>
          <w:p w:rsidR="00563214" w:rsidRPr="00563214" w:rsidRDefault="00563214" w:rsidP="00563214">
            <w:pPr>
              <w:autoSpaceDE w:val="0"/>
              <w:autoSpaceDN w:val="0"/>
              <w:adjustRightInd w:val="0"/>
              <w:spacing w:after="0" w:line="240" w:lineRule="auto"/>
              <w:rPr>
                <w:rFonts w:cs="Garamond"/>
                <w:color w:val="000000"/>
              </w:rPr>
            </w:pPr>
            <w:r w:rsidRPr="00563214">
              <w:rPr>
                <w:rFonts w:cs="Garamond"/>
                <w:color w:val="000000"/>
              </w:rPr>
              <w:t xml:space="preserve">Qualité globale de mise en œuvre du projet </w:t>
            </w:r>
          </w:p>
        </w:tc>
        <w:tc>
          <w:tcPr>
            <w:tcW w:w="1701" w:type="dxa"/>
          </w:tcPr>
          <w:p w:rsidR="00563214" w:rsidRPr="00563214" w:rsidRDefault="006B0345" w:rsidP="00563214">
            <w:pPr>
              <w:autoSpaceDE w:val="0"/>
              <w:autoSpaceDN w:val="0"/>
              <w:adjustRightInd w:val="0"/>
              <w:spacing w:after="0" w:line="240" w:lineRule="auto"/>
              <w:rPr>
                <w:rFonts w:cs="Garamond"/>
                <w:color w:val="000000"/>
              </w:rPr>
            </w:pPr>
            <w:r>
              <w:rPr>
                <w:rFonts w:cs="Garamond"/>
                <w:b/>
                <w:bCs/>
                <w:color w:val="000000"/>
              </w:rPr>
              <w:t>Satisfaisant (</w:t>
            </w:r>
            <w:r w:rsidR="00563214" w:rsidRPr="00563214">
              <w:rPr>
                <w:rFonts w:cs="Garamond"/>
                <w:b/>
                <w:bCs/>
                <w:color w:val="000000"/>
              </w:rPr>
              <w:t xml:space="preserve">S) </w:t>
            </w:r>
          </w:p>
        </w:tc>
      </w:tr>
    </w:tbl>
    <w:p w:rsidR="00AD6955" w:rsidRDefault="00AD6955" w:rsidP="0023276F">
      <w:pPr>
        <w:autoSpaceDE w:val="0"/>
        <w:autoSpaceDN w:val="0"/>
        <w:adjustRightInd w:val="0"/>
        <w:spacing w:after="0" w:line="240" w:lineRule="auto"/>
        <w:jc w:val="both"/>
        <w:rPr>
          <w:rFonts w:cs="ACaslonPro-Regular"/>
          <w:color w:val="000000"/>
        </w:rPr>
      </w:pPr>
    </w:p>
    <w:p w:rsidR="006B0345" w:rsidRPr="00563214" w:rsidRDefault="00B32E35" w:rsidP="0023276F">
      <w:pPr>
        <w:autoSpaceDE w:val="0"/>
        <w:autoSpaceDN w:val="0"/>
        <w:adjustRightInd w:val="0"/>
        <w:spacing w:after="0" w:line="240" w:lineRule="auto"/>
        <w:jc w:val="both"/>
        <w:rPr>
          <w:rFonts w:cs="ACaslonPro-Regular"/>
          <w:color w:val="000000"/>
        </w:rPr>
      </w:pPr>
      <w:r>
        <w:rPr>
          <w:rFonts w:cs="ACaslonPro-Regular"/>
          <w:color w:val="000000"/>
        </w:rPr>
        <w:t>Il est à noter que l</w:t>
      </w:r>
      <w:r w:rsidR="006B0345">
        <w:rPr>
          <w:rFonts w:cs="ACaslonPro-Regular"/>
          <w:color w:val="000000"/>
        </w:rPr>
        <w:t>e rating aurait pu être ‘’Très satisfaisant’’ si l’objectif d’intégrer l’INDH était atteint.</w:t>
      </w:r>
    </w:p>
    <w:p w:rsidR="00AD6955" w:rsidRPr="00563214" w:rsidRDefault="00AD6955" w:rsidP="00AD1A5C">
      <w:pPr>
        <w:autoSpaceDE w:val="0"/>
        <w:autoSpaceDN w:val="0"/>
        <w:adjustRightInd w:val="0"/>
        <w:spacing w:after="0" w:line="240" w:lineRule="auto"/>
        <w:rPr>
          <w:rFonts w:cs="ACaslonPro-Regular"/>
          <w:color w:val="000000"/>
        </w:rPr>
      </w:pPr>
    </w:p>
    <w:p w:rsidR="00AD1A5C" w:rsidRPr="00B4512F" w:rsidRDefault="009D56E5" w:rsidP="009D56E5">
      <w:pPr>
        <w:pStyle w:val="Titre2"/>
        <w:spacing w:before="0"/>
        <w:rPr>
          <w:rFonts w:asciiTheme="minorHAnsi" w:hAnsiTheme="minorHAnsi" w:cs="MyriadPro-Bold"/>
          <w:bCs w:val="0"/>
          <w:color w:val="auto"/>
          <w:sz w:val="22"/>
          <w:szCs w:val="22"/>
        </w:rPr>
      </w:pPr>
      <w:bookmarkStart w:id="53" w:name="_Toc425414588"/>
      <w:r w:rsidRPr="00B4512F">
        <w:rPr>
          <w:rFonts w:asciiTheme="minorHAnsi" w:hAnsiTheme="minorHAnsi" w:cs="MyriadPro-Bold"/>
          <w:bCs w:val="0"/>
          <w:color w:val="auto"/>
          <w:sz w:val="22"/>
          <w:szCs w:val="22"/>
        </w:rPr>
        <w:t>III</w:t>
      </w:r>
      <w:r w:rsidR="00B32E35">
        <w:rPr>
          <w:rFonts w:asciiTheme="minorHAnsi" w:hAnsiTheme="minorHAnsi" w:cs="MyriadPro-Bold"/>
          <w:bCs w:val="0"/>
          <w:color w:val="auto"/>
          <w:sz w:val="22"/>
          <w:szCs w:val="22"/>
        </w:rPr>
        <w:t>.3 Résultats du projet</w:t>
      </w:r>
      <w:bookmarkEnd w:id="53"/>
    </w:p>
    <w:p w:rsidR="00900A58" w:rsidRPr="00B4512F" w:rsidRDefault="009D56E5" w:rsidP="009D56E5">
      <w:pPr>
        <w:pStyle w:val="Titre3"/>
        <w:spacing w:before="0"/>
        <w:rPr>
          <w:rFonts w:asciiTheme="minorHAnsi" w:hAnsiTheme="minorHAnsi" w:cs="ACaslonPro-Regular"/>
          <w:color w:val="000000"/>
        </w:rPr>
      </w:pPr>
      <w:bookmarkStart w:id="54" w:name="_Toc425414589"/>
      <w:r w:rsidRPr="00B4512F">
        <w:rPr>
          <w:rFonts w:asciiTheme="minorHAnsi" w:hAnsiTheme="minorHAnsi" w:cs="ACaslonPro-Regular"/>
          <w:color w:val="000000"/>
        </w:rPr>
        <w:t>III.</w:t>
      </w:r>
      <w:r w:rsidR="00900A58" w:rsidRPr="00B4512F">
        <w:rPr>
          <w:rFonts w:asciiTheme="minorHAnsi" w:hAnsiTheme="minorHAnsi" w:cs="ACaslonPro-Regular"/>
          <w:color w:val="000000"/>
        </w:rPr>
        <w:t>3.1. Résultats globaux</w:t>
      </w:r>
      <w:bookmarkEnd w:id="54"/>
    </w:p>
    <w:p w:rsidR="00900A58" w:rsidRPr="00900A58" w:rsidRDefault="00900A58" w:rsidP="00900A58">
      <w:pPr>
        <w:autoSpaceDE w:val="0"/>
        <w:autoSpaceDN w:val="0"/>
        <w:adjustRightInd w:val="0"/>
        <w:spacing w:after="0" w:line="240" w:lineRule="auto"/>
        <w:jc w:val="both"/>
        <w:rPr>
          <w:rFonts w:cs="ACaslonPro-Regular"/>
          <w:color w:val="000000"/>
        </w:rPr>
      </w:pPr>
      <w:r w:rsidRPr="00900A58">
        <w:rPr>
          <w:rFonts w:cs="ACaslonPro-Regular"/>
          <w:color w:val="000000"/>
        </w:rPr>
        <w:t xml:space="preserve">L’évaluation détaillée des réalisations du projet est effectuée tant au niveau des objectifs que des résultats escomptés comme décrit dans le cadre logique du projet. Les paragraphes ci-après décrivent en détail la réalisation finale de tous les résultats du projet. </w:t>
      </w:r>
    </w:p>
    <w:p w:rsidR="00900A58" w:rsidRDefault="00900A58" w:rsidP="00AD1A5C">
      <w:pPr>
        <w:autoSpaceDE w:val="0"/>
        <w:autoSpaceDN w:val="0"/>
        <w:adjustRightInd w:val="0"/>
        <w:spacing w:after="0" w:line="240" w:lineRule="auto"/>
        <w:rPr>
          <w:rFonts w:cs="ACaslonPro-Regular"/>
          <w:color w:val="000000"/>
        </w:rPr>
      </w:pPr>
    </w:p>
    <w:tbl>
      <w:tblPr>
        <w:tblStyle w:val="Grilledutableau"/>
        <w:tblW w:w="0" w:type="auto"/>
        <w:tblLook w:val="04A0"/>
      </w:tblPr>
      <w:tblGrid>
        <w:gridCol w:w="4077"/>
        <w:gridCol w:w="3969"/>
        <w:gridCol w:w="1242"/>
      </w:tblGrid>
      <w:tr w:rsidR="00B32450" w:rsidTr="00604D3A">
        <w:tc>
          <w:tcPr>
            <w:tcW w:w="9288" w:type="dxa"/>
            <w:gridSpan w:val="3"/>
            <w:shd w:val="clear" w:color="auto" w:fill="BFBFBF" w:themeFill="background1" w:themeFillShade="BF"/>
          </w:tcPr>
          <w:p w:rsidR="00B32450" w:rsidRDefault="00B32450" w:rsidP="00AD1A5C">
            <w:pPr>
              <w:autoSpaceDE w:val="0"/>
              <w:autoSpaceDN w:val="0"/>
              <w:adjustRightInd w:val="0"/>
              <w:rPr>
                <w:rFonts w:cs="ACaslonPro-Regular"/>
                <w:color w:val="000000"/>
              </w:rPr>
            </w:pPr>
            <w:r>
              <w:rPr>
                <w:rFonts w:cs="ACaslonPro-Regular"/>
                <w:color w:val="000000"/>
              </w:rPr>
              <w:t xml:space="preserve">Résultat 1 : </w:t>
            </w:r>
            <w:r w:rsidRPr="005430C3">
              <w:rPr>
                <w:rFonts w:cs="ACaslonPro-Regular"/>
                <w:color w:val="000000"/>
              </w:rPr>
              <w:t>Le cadre institutionnel pour l’intégration de la gestion de l’environnement mondial dans les programmes de l’INDH et dans la planification et le suivi des PCDs est développé.</w:t>
            </w:r>
          </w:p>
        </w:tc>
      </w:tr>
      <w:tr w:rsidR="00B32450" w:rsidTr="00604D3A">
        <w:tc>
          <w:tcPr>
            <w:tcW w:w="4077" w:type="dxa"/>
            <w:shd w:val="clear" w:color="auto" w:fill="BFBFBF" w:themeFill="background1" w:themeFillShade="BF"/>
          </w:tcPr>
          <w:p w:rsidR="00B32450" w:rsidRDefault="00B32450" w:rsidP="00AD1A5C">
            <w:pPr>
              <w:autoSpaceDE w:val="0"/>
              <w:autoSpaceDN w:val="0"/>
              <w:adjustRightInd w:val="0"/>
              <w:rPr>
                <w:rFonts w:cs="ACaslonPro-Regular"/>
                <w:color w:val="000000"/>
              </w:rPr>
            </w:pPr>
            <w:r>
              <w:rPr>
                <w:rFonts w:cs="ACaslonPro-Regular"/>
                <w:color w:val="000000"/>
              </w:rPr>
              <w:t>Indicateurs</w:t>
            </w:r>
          </w:p>
        </w:tc>
        <w:tc>
          <w:tcPr>
            <w:tcW w:w="3969" w:type="dxa"/>
            <w:shd w:val="clear" w:color="auto" w:fill="BFBFBF" w:themeFill="background1" w:themeFillShade="BF"/>
          </w:tcPr>
          <w:p w:rsidR="00B32450" w:rsidRDefault="00B32450" w:rsidP="00AD1A5C">
            <w:pPr>
              <w:autoSpaceDE w:val="0"/>
              <w:autoSpaceDN w:val="0"/>
              <w:adjustRightInd w:val="0"/>
              <w:rPr>
                <w:rFonts w:cs="ACaslonPro-Regular"/>
                <w:color w:val="000000"/>
              </w:rPr>
            </w:pPr>
            <w:r>
              <w:rPr>
                <w:rFonts w:cs="ACaslonPro-Regular"/>
                <w:color w:val="000000"/>
              </w:rPr>
              <w:t xml:space="preserve">Cibles </w:t>
            </w:r>
          </w:p>
        </w:tc>
        <w:tc>
          <w:tcPr>
            <w:tcW w:w="1242" w:type="dxa"/>
            <w:shd w:val="clear" w:color="auto" w:fill="BFBFBF" w:themeFill="background1" w:themeFillShade="BF"/>
          </w:tcPr>
          <w:p w:rsidR="00B32450" w:rsidRDefault="00B32450" w:rsidP="00AD1A5C">
            <w:pPr>
              <w:autoSpaceDE w:val="0"/>
              <w:autoSpaceDN w:val="0"/>
              <w:adjustRightInd w:val="0"/>
              <w:rPr>
                <w:rFonts w:cs="ACaslonPro-Regular"/>
                <w:color w:val="000000"/>
              </w:rPr>
            </w:pPr>
            <w:r>
              <w:rPr>
                <w:rFonts w:cs="ACaslonPro-Regular"/>
                <w:color w:val="000000"/>
              </w:rPr>
              <w:t>Réalisation</w:t>
            </w:r>
          </w:p>
        </w:tc>
      </w:tr>
      <w:tr w:rsidR="00B32450" w:rsidTr="00B32450">
        <w:tc>
          <w:tcPr>
            <w:tcW w:w="4077" w:type="dxa"/>
          </w:tcPr>
          <w:p w:rsidR="00B32450" w:rsidRDefault="00D151D4" w:rsidP="00AD1A5C">
            <w:pPr>
              <w:autoSpaceDE w:val="0"/>
              <w:autoSpaceDN w:val="0"/>
              <w:adjustRightInd w:val="0"/>
              <w:rPr>
                <w:rFonts w:cs="ACaslonPro-Regular"/>
                <w:color w:val="000000"/>
              </w:rPr>
            </w:pPr>
            <w:r>
              <w:rPr>
                <w:rFonts w:cs="ACaslonPro-Regular"/>
                <w:color w:val="000000"/>
              </w:rPr>
              <w:t xml:space="preserve">1. </w:t>
            </w:r>
            <w:r w:rsidR="00B32450" w:rsidRPr="005430C3">
              <w:rPr>
                <w:rFonts w:cs="ACaslonPro-Regular"/>
                <w:color w:val="000000"/>
              </w:rPr>
              <w:t>Nombre d’outils et de procédures pour l’intégration de l’environnement dans les processus des PCD et de l’INDH élaborés et adoptées.</w:t>
            </w:r>
          </w:p>
        </w:tc>
        <w:tc>
          <w:tcPr>
            <w:tcW w:w="3969" w:type="dxa"/>
          </w:tcPr>
          <w:p w:rsidR="00B32450" w:rsidRDefault="00B32450" w:rsidP="00AD1A5C">
            <w:pPr>
              <w:autoSpaceDE w:val="0"/>
              <w:autoSpaceDN w:val="0"/>
              <w:adjustRightInd w:val="0"/>
              <w:rPr>
                <w:rFonts w:cs="ACaslonPro-Regular"/>
                <w:color w:val="000000"/>
              </w:rPr>
            </w:pPr>
            <w:r w:rsidRPr="005430C3">
              <w:rPr>
                <w:rFonts w:cs="ACaslonPro-Regular"/>
                <w:color w:val="000000"/>
              </w:rPr>
              <w:t xml:space="preserve">Au moins 5 outils d’intégration de l’environnement mondial dans la planification locale et </w:t>
            </w:r>
            <w:r w:rsidR="000140DD" w:rsidRPr="005430C3">
              <w:rPr>
                <w:rFonts w:cs="ACaslonPro-Regular"/>
                <w:color w:val="000000"/>
              </w:rPr>
              <w:t>INDH sont</w:t>
            </w:r>
            <w:r w:rsidRPr="005430C3">
              <w:rPr>
                <w:rFonts w:cs="ACaslonPro-Regular"/>
                <w:color w:val="000000"/>
              </w:rPr>
              <w:t xml:space="preserve"> développés et adoptés par les acteurs clés</w:t>
            </w:r>
          </w:p>
        </w:tc>
        <w:tc>
          <w:tcPr>
            <w:tcW w:w="1242" w:type="dxa"/>
          </w:tcPr>
          <w:p w:rsidR="00B32450" w:rsidRDefault="00B32450" w:rsidP="00AD1A5C">
            <w:pPr>
              <w:autoSpaceDE w:val="0"/>
              <w:autoSpaceDN w:val="0"/>
              <w:adjustRightInd w:val="0"/>
              <w:rPr>
                <w:rFonts w:cs="ACaslonPro-Regular"/>
                <w:color w:val="000000"/>
              </w:rPr>
            </w:pPr>
            <w:r>
              <w:rPr>
                <w:rFonts w:cs="ACaslonPro-Regular"/>
                <w:color w:val="000000"/>
              </w:rPr>
              <w:t>90%</w:t>
            </w:r>
          </w:p>
        </w:tc>
      </w:tr>
      <w:tr w:rsidR="00B32450" w:rsidTr="00B32450">
        <w:tc>
          <w:tcPr>
            <w:tcW w:w="4077" w:type="dxa"/>
          </w:tcPr>
          <w:p w:rsidR="00B32450" w:rsidRDefault="000140DD" w:rsidP="00AD1A5C">
            <w:pPr>
              <w:autoSpaceDE w:val="0"/>
              <w:autoSpaceDN w:val="0"/>
              <w:adjustRightInd w:val="0"/>
              <w:rPr>
                <w:rFonts w:cs="ACaslonPro-Regular"/>
                <w:color w:val="000000"/>
              </w:rPr>
            </w:pPr>
            <w:r>
              <w:rPr>
                <w:rFonts w:cs="ACaslonPro-Regular"/>
                <w:color w:val="000000"/>
              </w:rPr>
              <w:lastRenderedPageBreak/>
              <w:t>2.</w:t>
            </w:r>
            <w:r w:rsidRPr="005430C3">
              <w:rPr>
                <w:rFonts w:cs="ACaslonPro-Regular"/>
                <w:color w:val="000000"/>
              </w:rPr>
              <w:t xml:space="preserve"> Un</w:t>
            </w:r>
            <w:r w:rsidR="00B32450" w:rsidRPr="005430C3">
              <w:rPr>
                <w:rFonts w:cs="ACaslonPro-Regular"/>
                <w:color w:val="000000"/>
              </w:rPr>
              <w:t xml:space="preserve"> mécanisme </w:t>
            </w:r>
            <w:r w:rsidRPr="005430C3">
              <w:rPr>
                <w:rFonts w:cs="ACaslonPro-Regular"/>
                <w:color w:val="000000"/>
              </w:rPr>
              <w:t>de coordination</w:t>
            </w:r>
            <w:r w:rsidR="00B32450" w:rsidRPr="005430C3">
              <w:rPr>
                <w:rFonts w:cs="ACaslonPro-Regular"/>
                <w:color w:val="000000"/>
              </w:rPr>
              <w:t xml:space="preserve"> entre les institutions clés concernées par l’intégration de l’environnement mondial dans les PCD) </w:t>
            </w:r>
            <w:r w:rsidRPr="005430C3">
              <w:rPr>
                <w:rFonts w:cs="ACaslonPro-Regular"/>
                <w:color w:val="000000"/>
              </w:rPr>
              <w:t>et l’INDH</w:t>
            </w:r>
            <w:r w:rsidR="00B32450" w:rsidRPr="005430C3">
              <w:rPr>
                <w:rFonts w:cs="ACaslonPro-Regular"/>
                <w:color w:val="000000"/>
              </w:rPr>
              <w:t xml:space="preserve"> est établi.</w:t>
            </w:r>
          </w:p>
        </w:tc>
        <w:tc>
          <w:tcPr>
            <w:tcW w:w="3969" w:type="dxa"/>
          </w:tcPr>
          <w:p w:rsidR="00B32450" w:rsidRDefault="00B32450" w:rsidP="00AD1A5C">
            <w:pPr>
              <w:autoSpaceDE w:val="0"/>
              <w:autoSpaceDN w:val="0"/>
              <w:adjustRightInd w:val="0"/>
              <w:rPr>
                <w:rFonts w:cs="ACaslonPro-Regular"/>
                <w:color w:val="000000"/>
              </w:rPr>
            </w:pPr>
            <w:r w:rsidRPr="00DE6479">
              <w:rPr>
                <w:rFonts w:cs="ACaslonPro-Regular"/>
                <w:color w:val="000000"/>
              </w:rPr>
              <w:t>Le mécanisme de coordination entre les institutions clés pour intégrer la gestion de l’environnement mondial dans la planification stratégique locale (PCDs) et les programmes de l’INDH est mis en place et opérationnel.</w:t>
            </w:r>
          </w:p>
        </w:tc>
        <w:tc>
          <w:tcPr>
            <w:tcW w:w="1242" w:type="dxa"/>
          </w:tcPr>
          <w:p w:rsidR="00B32450" w:rsidRDefault="00B32450" w:rsidP="00AD1A5C">
            <w:pPr>
              <w:autoSpaceDE w:val="0"/>
              <w:autoSpaceDN w:val="0"/>
              <w:adjustRightInd w:val="0"/>
              <w:rPr>
                <w:rFonts w:cs="ACaslonPro-Regular"/>
                <w:color w:val="000000"/>
              </w:rPr>
            </w:pPr>
            <w:r>
              <w:rPr>
                <w:rFonts w:cs="ACaslonPro-Regular"/>
                <w:color w:val="000000"/>
              </w:rPr>
              <w:t>100%</w:t>
            </w:r>
          </w:p>
        </w:tc>
      </w:tr>
      <w:tr w:rsidR="00B32450" w:rsidTr="00B32450">
        <w:tc>
          <w:tcPr>
            <w:tcW w:w="4077" w:type="dxa"/>
          </w:tcPr>
          <w:p w:rsidR="00B32450" w:rsidRDefault="000140DD" w:rsidP="00AD1A5C">
            <w:pPr>
              <w:autoSpaceDE w:val="0"/>
              <w:autoSpaceDN w:val="0"/>
              <w:adjustRightInd w:val="0"/>
              <w:rPr>
                <w:rFonts w:cs="ACaslonPro-Regular"/>
                <w:color w:val="000000"/>
              </w:rPr>
            </w:pPr>
            <w:r>
              <w:rPr>
                <w:rFonts w:cs="ACaslonPro-Regular"/>
                <w:color w:val="000000"/>
              </w:rPr>
              <w:t>3.</w:t>
            </w:r>
            <w:r w:rsidRPr="00DE6479">
              <w:rPr>
                <w:rFonts w:cs="ACaslonPro-Regular"/>
                <w:color w:val="000000"/>
              </w:rPr>
              <w:t xml:space="preserve"> Un</w:t>
            </w:r>
            <w:r w:rsidR="00B32450" w:rsidRPr="00DE6479">
              <w:rPr>
                <w:rFonts w:cs="ACaslonPro-Regular"/>
                <w:color w:val="000000"/>
              </w:rPr>
              <w:t xml:space="preserve"> système de suivi et une batterie d’indicateurs des avancées vers les cibles de l’environnement mondial       (inclus les indicateurs budgétaires) sont établis pour les PCDs et les programmes de l’INDH.</w:t>
            </w:r>
          </w:p>
        </w:tc>
        <w:tc>
          <w:tcPr>
            <w:tcW w:w="3969" w:type="dxa"/>
          </w:tcPr>
          <w:p w:rsidR="00B32450" w:rsidRDefault="00B32450" w:rsidP="00AD1A5C">
            <w:pPr>
              <w:autoSpaceDE w:val="0"/>
              <w:autoSpaceDN w:val="0"/>
              <w:adjustRightInd w:val="0"/>
              <w:rPr>
                <w:rFonts w:cs="ACaslonPro-Regular"/>
                <w:color w:val="000000"/>
              </w:rPr>
            </w:pPr>
            <w:r w:rsidRPr="00DE6479">
              <w:rPr>
                <w:rFonts w:cs="ACaslonPro-Regular"/>
                <w:color w:val="000000"/>
              </w:rPr>
              <w:t xml:space="preserve">Un système de suivi </w:t>
            </w:r>
            <w:r w:rsidR="00B32E35">
              <w:rPr>
                <w:rFonts w:cs="ACaslonPro-Regular"/>
                <w:color w:val="000000"/>
              </w:rPr>
              <w:t xml:space="preserve">avec </w:t>
            </w:r>
            <w:r w:rsidRPr="00DE6479">
              <w:rPr>
                <w:rFonts w:cs="ACaslonPro-Regular"/>
                <w:color w:val="000000"/>
              </w:rPr>
              <w:t xml:space="preserve">au moins une batterie de 10 indicateurs relatifs à la </w:t>
            </w:r>
            <w:r w:rsidR="000140DD" w:rsidRPr="00DE6479">
              <w:rPr>
                <w:rFonts w:cs="ACaslonPro-Regular"/>
                <w:color w:val="000000"/>
              </w:rPr>
              <w:t>gestion de</w:t>
            </w:r>
            <w:r w:rsidRPr="00DE6479">
              <w:rPr>
                <w:rFonts w:cs="ACaslonPro-Regular"/>
                <w:color w:val="000000"/>
              </w:rPr>
              <w:t xml:space="preserve"> l’environnement mondial dans les PCDs et l’INDH est mis en place permettant de mesurer l’effort budgétaire et l’impact environnemental.</w:t>
            </w:r>
          </w:p>
        </w:tc>
        <w:tc>
          <w:tcPr>
            <w:tcW w:w="1242" w:type="dxa"/>
          </w:tcPr>
          <w:p w:rsidR="00B32450" w:rsidRDefault="00B32450" w:rsidP="00AD1A5C">
            <w:pPr>
              <w:autoSpaceDE w:val="0"/>
              <w:autoSpaceDN w:val="0"/>
              <w:adjustRightInd w:val="0"/>
              <w:rPr>
                <w:rFonts w:cs="ACaslonPro-Regular"/>
                <w:color w:val="000000"/>
              </w:rPr>
            </w:pPr>
            <w:r>
              <w:rPr>
                <w:rFonts w:cs="ACaslonPro-Regular"/>
                <w:color w:val="000000"/>
              </w:rPr>
              <w:t>50%</w:t>
            </w:r>
          </w:p>
        </w:tc>
      </w:tr>
    </w:tbl>
    <w:p w:rsidR="00900A58" w:rsidRDefault="00900A58" w:rsidP="00AD1A5C">
      <w:pPr>
        <w:autoSpaceDE w:val="0"/>
        <w:autoSpaceDN w:val="0"/>
        <w:adjustRightInd w:val="0"/>
        <w:spacing w:after="0" w:line="240" w:lineRule="auto"/>
        <w:rPr>
          <w:rFonts w:cs="ACaslonPro-Regular"/>
          <w:color w:val="000000"/>
        </w:rPr>
      </w:pPr>
    </w:p>
    <w:p w:rsidR="00D151D4" w:rsidRDefault="00D151D4" w:rsidP="00AD1A5C">
      <w:pPr>
        <w:autoSpaceDE w:val="0"/>
        <w:autoSpaceDN w:val="0"/>
        <w:adjustRightInd w:val="0"/>
        <w:spacing w:after="0" w:line="240" w:lineRule="auto"/>
        <w:rPr>
          <w:rFonts w:cs="ACaslonPro-Regular"/>
          <w:color w:val="000000"/>
        </w:rPr>
      </w:pPr>
      <w:r>
        <w:rPr>
          <w:rFonts w:cs="ACaslonPro-Regular"/>
          <w:color w:val="000000"/>
        </w:rPr>
        <w:t>Le nombre d’outi</w:t>
      </w:r>
      <w:r w:rsidR="00B32E35">
        <w:rPr>
          <w:rFonts w:cs="ACaslonPro-Regular"/>
          <w:color w:val="000000"/>
        </w:rPr>
        <w:t>ls</w:t>
      </w:r>
      <w:r>
        <w:rPr>
          <w:rFonts w:cs="ACaslonPro-Regular"/>
          <w:color w:val="000000"/>
        </w:rPr>
        <w:t xml:space="preserve"> ciblé</w:t>
      </w:r>
      <w:r w:rsidR="00B32E35">
        <w:rPr>
          <w:rFonts w:cs="ACaslonPro-Regular"/>
          <w:color w:val="000000"/>
        </w:rPr>
        <w:t>s</w:t>
      </w:r>
      <w:r>
        <w:rPr>
          <w:rFonts w:cs="ACaslonPro-Regular"/>
          <w:color w:val="000000"/>
        </w:rPr>
        <w:t xml:space="preserve"> par l’indicateur 1 a été dépassé. Cependant, les acteurs clés de l’INDH n’ont pas adopté ces outils.</w:t>
      </w:r>
    </w:p>
    <w:p w:rsidR="00C71073" w:rsidRDefault="00C71073" w:rsidP="00AD1A5C">
      <w:pPr>
        <w:autoSpaceDE w:val="0"/>
        <w:autoSpaceDN w:val="0"/>
        <w:adjustRightInd w:val="0"/>
        <w:spacing w:after="0" w:line="240" w:lineRule="auto"/>
        <w:rPr>
          <w:rFonts w:cs="ACaslonPro-Regular"/>
          <w:color w:val="000000"/>
        </w:rPr>
      </w:pPr>
      <w:r>
        <w:rPr>
          <w:rFonts w:cs="ACaslonPro-Regular"/>
          <w:color w:val="000000"/>
        </w:rPr>
        <w:t>Indicateur 2 : La création des GREET constitue un mécanisme efficace de coordination entre les institutions clés concernées par l’intégration de la démarche IEL.</w:t>
      </w:r>
    </w:p>
    <w:p w:rsidR="00D151D4" w:rsidRDefault="00D151D4" w:rsidP="005D4497">
      <w:pPr>
        <w:autoSpaceDE w:val="0"/>
        <w:autoSpaceDN w:val="0"/>
        <w:adjustRightInd w:val="0"/>
        <w:spacing w:after="0" w:line="240" w:lineRule="auto"/>
        <w:jc w:val="both"/>
        <w:rPr>
          <w:rFonts w:cs="ACaslonPro-Regular"/>
          <w:color w:val="000000"/>
        </w:rPr>
      </w:pPr>
      <w:r>
        <w:rPr>
          <w:rFonts w:cs="ACaslonPro-Regular"/>
          <w:color w:val="000000"/>
        </w:rPr>
        <w:t xml:space="preserve">Indicateur 3 : Les PCD des communes pilotes ont été </w:t>
      </w:r>
      <w:r w:rsidRPr="005D4497">
        <w:rPr>
          <w:rFonts w:cs="ACaslonPro-Regular"/>
          <w:color w:val="000000"/>
        </w:rPr>
        <w:t>développé</w:t>
      </w:r>
      <w:r w:rsidR="005D4497" w:rsidRPr="005D4497">
        <w:rPr>
          <w:rFonts w:cs="ACaslonPro-Regular"/>
          <w:color w:val="000000"/>
        </w:rPr>
        <w:t>s</w:t>
      </w:r>
      <w:r>
        <w:rPr>
          <w:rFonts w:cs="ACaslonPro-Regular"/>
          <w:color w:val="000000"/>
        </w:rPr>
        <w:t xml:space="preserve"> à la lumière de la démarche IEL. Les indicateurs de suivi ont été identifiés pour chacun d’entre eux. </w:t>
      </w:r>
      <w:r w:rsidR="00365823">
        <w:rPr>
          <w:rFonts w:cs="ACaslonPro-Regular"/>
          <w:color w:val="000000"/>
        </w:rPr>
        <w:t xml:space="preserve">Les termes de références pour la réalisation de l’étude de verdissement des SIC et l’identification des modalités de jonction entre le SIC et le SIRE, sont élaborés. </w:t>
      </w:r>
      <w:r>
        <w:rPr>
          <w:rFonts w:cs="ACaslonPro-Regular"/>
          <w:color w:val="000000"/>
        </w:rPr>
        <w:t>Cependant, ces PCD n’ont pas encore été adoptés par les conseils des communes. De ce fait, les indicateurs ne sont pas pris en compte dans les SIC. En outre, aucun</w:t>
      </w:r>
      <w:r w:rsidR="00365823">
        <w:rPr>
          <w:rFonts w:cs="ACaslonPro-Regular"/>
          <w:color w:val="000000"/>
        </w:rPr>
        <w:t>e</w:t>
      </w:r>
      <w:r>
        <w:rPr>
          <w:rFonts w:cs="ACaslonPro-Regular"/>
          <w:color w:val="000000"/>
        </w:rPr>
        <w:t xml:space="preserve"> ILDH n’a été </w:t>
      </w:r>
      <w:r w:rsidRPr="005D4497">
        <w:rPr>
          <w:rFonts w:cs="ACaslonPro-Regular"/>
          <w:color w:val="000000"/>
        </w:rPr>
        <w:t>élaboré</w:t>
      </w:r>
      <w:r w:rsidR="005D4497" w:rsidRPr="005D4497">
        <w:rPr>
          <w:rFonts w:cs="ACaslonPro-Regular"/>
          <w:color w:val="000000"/>
        </w:rPr>
        <w:t>e</w:t>
      </w:r>
      <w:r>
        <w:rPr>
          <w:rFonts w:cs="ACaslonPro-Regular"/>
          <w:color w:val="000000"/>
        </w:rPr>
        <w:t xml:space="preserve"> en intégrant la démarche IEL.</w:t>
      </w:r>
    </w:p>
    <w:p w:rsidR="00C71073" w:rsidRDefault="00C71073" w:rsidP="00AD1A5C">
      <w:pPr>
        <w:autoSpaceDE w:val="0"/>
        <w:autoSpaceDN w:val="0"/>
        <w:adjustRightInd w:val="0"/>
        <w:spacing w:after="0" w:line="240" w:lineRule="auto"/>
        <w:rPr>
          <w:rFonts w:cs="ACaslonPro-Regular"/>
          <w:color w:val="000000"/>
        </w:rPr>
      </w:pPr>
    </w:p>
    <w:p w:rsidR="00C71073" w:rsidRDefault="00C71073" w:rsidP="00AD1A5C">
      <w:pPr>
        <w:autoSpaceDE w:val="0"/>
        <w:autoSpaceDN w:val="0"/>
        <w:adjustRightInd w:val="0"/>
        <w:spacing w:after="0" w:line="240" w:lineRule="auto"/>
        <w:rPr>
          <w:rFonts w:cs="ACaslonPro-Regular"/>
          <w:color w:val="000000"/>
        </w:rPr>
      </w:pPr>
      <w:r>
        <w:rPr>
          <w:rFonts w:cs="ACaslonPro-Regular"/>
          <w:color w:val="000000"/>
        </w:rPr>
        <w:t>Notations :</w:t>
      </w:r>
    </w:p>
    <w:tbl>
      <w:tblPr>
        <w:tblStyle w:val="Grilledutableau"/>
        <w:tblW w:w="0" w:type="auto"/>
        <w:tblLook w:val="04A0"/>
      </w:tblPr>
      <w:tblGrid>
        <w:gridCol w:w="7479"/>
        <w:gridCol w:w="1733"/>
      </w:tblGrid>
      <w:tr w:rsidR="00C71073" w:rsidRPr="00C71073" w:rsidTr="00C71073">
        <w:tc>
          <w:tcPr>
            <w:tcW w:w="7479" w:type="dxa"/>
            <w:shd w:val="clear" w:color="auto" w:fill="BFBFBF" w:themeFill="background1" w:themeFillShade="BF"/>
          </w:tcPr>
          <w:p w:rsidR="00C71073" w:rsidRPr="00C71073" w:rsidRDefault="00C71073" w:rsidP="00C71073">
            <w:pPr>
              <w:autoSpaceDE w:val="0"/>
              <w:autoSpaceDN w:val="0"/>
              <w:adjustRightInd w:val="0"/>
              <w:jc w:val="center"/>
              <w:rPr>
                <w:rFonts w:cs="ACaslonPro-Regular"/>
                <w:b/>
                <w:color w:val="000000"/>
              </w:rPr>
            </w:pPr>
            <w:r w:rsidRPr="00C71073">
              <w:rPr>
                <w:rFonts w:cs="ACaslonPro-Regular"/>
                <w:b/>
                <w:color w:val="000000"/>
              </w:rPr>
              <w:t>Indicateurs</w:t>
            </w:r>
          </w:p>
        </w:tc>
        <w:tc>
          <w:tcPr>
            <w:tcW w:w="1733" w:type="dxa"/>
            <w:shd w:val="clear" w:color="auto" w:fill="BFBFBF" w:themeFill="background1" w:themeFillShade="BF"/>
          </w:tcPr>
          <w:p w:rsidR="00C71073" w:rsidRPr="00687ED2" w:rsidRDefault="00C71073" w:rsidP="00687ED2">
            <w:pPr>
              <w:autoSpaceDE w:val="0"/>
              <w:autoSpaceDN w:val="0"/>
              <w:adjustRightInd w:val="0"/>
              <w:jc w:val="center"/>
              <w:rPr>
                <w:rFonts w:cs="ACaslonPro-Regular"/>
                <w:b/>
                <w:color w:val="000000"/>
              </w:rPr>
            </w:pPr>
            <w:r w:rsidRPr="00687ED2">
              <w:rPr>
                <w:rFonts w:cs="ACaslonPro-Regular"/>
                <w:b/>
                <w:color w:val="000000"/>
              </w:rPr>
              <w:t>Notation</w:t>
            </w:r>
          </w:p>
        </w:tc>
      </w:tr>
      <w:tr w:rsidR="00C71073" w:rsidTr="00C71073">
        <w:tc>
          <w:tcPr>
            <w:tcW w:w="7479" w:type="dxa"/>
          </w:tcPr>
          <w:p w:rsidR="00C71073" w:rsidRDefault="00C71073" w:rsidP="00AD1A5C">
            <w:pPr>
              <w:autoSpaceDE w:val="0"/>
              <w:autoSpaceDN w:val="0"/>
              <w:adjustRightInd w:val="0"/>
              <w:rPr>
                <w:rFonts w:cs="ACaslonPro-Regular"/>
                <w:color w:val="000000"/>
              </w:rPr>
            </w:pPr>
            <w:r w:rsidRPr="00C71073">
              <w:rPr>
                <w:rFonts w:cs="ACaslonPro-Regular"/>
                <w:color w:val="000000"/>
              </w:rPr>
              <w:t>1. Nombre d’outils et de procédures pour l’intégration de l’environnement dans les processus des PCD et de l’INDH élaborés et adoptées.</w:t>
            </w:r>
          </w:p>
        </w:tc>
        <w:tc>
          <w:tcPr>
            <w:tcW w:w="1733" w:type="dxa"/>
          </w:tcPr>
          <w:p w:rsidR="00C71073" w:rsidRPr="00687ED2" w:rsidRDefault="00C71073" w:rsidP="00687ED2">
            <w:pPr>
              <w:autoSpaceDE w:val="0"/>
              <w:autoSpaceDN w:val="0"/>
              <w:adjustRightInd w:val="0"/>
              <w:jc w:val="center"/>
              <w:rPr>
                <w:rFonts w:cs="ACaslonPro-Regular"/>
                <w:b/>
                <w:color w:val="000000"/>
              </w:rPr>
            </w:pPr>
            <w:r w:rsidRPr="00687ED2">
              <w:rPr>
                <w:rFonts w:cs="ACaslonPro-Regular"/>
                <w:b/>
                <w:color w:val="000000"/>
              </w:rPr>
              <w:t>S</w:t>
            </w:r>
          </w:p>
        </w:tc>
      </w:tr>
      <w:tr w:rsidR="00C71073" w:rsidTr="00C71073">
        <w:tc>
          <w:tcPr>
            <w:tcW w:w="7479" w:type="dxa"/>
          </w:tcPr>
          <w:p w:rsidR="00C71073" w:rsidRDefault="005D4497" w:rsidP="00AD1A5C">
            <w:pPr>
              <w:autoSpaceDE w:val="0"/>
              <w:autoSpaceDN w:val="0"/>
              <w:adjustRightInd w:val="0"/>
              <w:rPr>
                <w:rFonts w:cs="ACaslonPro-Regular"/>
                <w:color w:val="000000"/>
              </w:rPr>
            </w:pPr>
            <w:r w:rsidRPr="00C71073">
              <w:rPr>
                <w:rFonts w:cs="ACaslonPro-Regular"/>
                <w:color w:val="000000"/>
              </w:rPr>
              <w:t>2. Un</w:t>
            </w:r>
            <w:r w:rsidR="00C71073" w:rsidRPr="00C71073">
              <w:rPr>
                <w:rFonts w:cs="ACaslonPro-Regular"/>
                <w:color w:val="000000"/>
              </w:rPr>
              <w:t xml:space="preserve"> mécanisme </w:t>
            </w:r>
            <w:r w:rsidRPr="00C71073">
              <w:rPr>
                <w:rFonts w:cs="ACaslonPro-Regular"/>
                <w:color w:val="000000"/>
              </w:rPr>
              <w:t>de coordination</w:t>
            </w:r>
            <w:r w:rsidR="00C71073" w:rsidRPr="00C71073">
              <w:rPr>
                <w:rFonts w:cs="ACaslonPro-Regular"/>
                <w:color w:val="000000"/>
              </w:rPr>
              <w:t xml:space="preserve"> entre les institutions clés concernées par l’intégration de l’environnement mondial dans les PCD) </w:t>
            </w:r>
            <w:r w:rsidRPr="00C71073">
              <w:rPr>
                <w:rFonts w:cs="ACaslonPro-Regular"/>
                <w:color w:val="000000"/>
              </w:rPr>
              <w:t>et l’INDH</w:t>
            </w:r>
            <w:r w:rsidR="00C71073" w:rsidRPr="00C71073">
              <w:rPr>
                <w:rFonts w:cs="ACaslonPro-Regular"/>
                <w:color w:val="000000"/>
              </w:rPr>
              <w:t xml:space="preserve"> est établi.</w:t>
            </w:r>
          </w:p>
        </w:tc>
        <w:tc>
          <w:tcPr>
            <w:tcW w:w="1733" w:type="dxa"/>
          </w:tcPr>
          <w:p w:rsidR="00C71073" w:rsidRPr="00687ED2" w:rsidRDefault="00C71073" w:rsidP="00687ED2">
            <w:pPr>
              <w:autoSpaceDE w:val="0"/>
              <w:autoSpaceDN w:val="0"/>
              <w:adjustRightInd w:val="0"/>
              <w:jc w:val="center"/>
              <w:rPr>
                <w:rFonts w:cs="ACaslonPro-Regular"/>
                <w:b/>
                <w:color w:val="000000"/>
              </w:rPr>
            </w:pPr>
            <w:r w:rsidRPr="00687ED2">
              <w:rPr>
                <w:rFonts w:cs="ACaslonPro-Regular"/>
                <w:b/>
                <w:color w:val="000000"/>
              </w:rPr>
              <w:t>HS</w:t>
            </w:r>
          </w:p>
        </w:tc>
      </w:tr>
      <w:tr w:rsidR="00C71073" w:rsidTr="00C71073">
        <w:tc>
          <w:tcPr>
            <w:tcW w:w="7479" w:type="dxa"/>
          </w:tcPr>
          <w:p w:rsidR="00C71073" w:rsidRDefault="005D4497" w:rsidP="005D4497">
            <w:pPr>
              <w:autoSpaceDE w:val="0"/>
              <w:autoSpaceDN w:val="0"/>
              <w:adjustRightInd w:val="0"/>
              <w:rPr>
                <w:rFonts w:cs="ACaslonPro-Regular"/>
                <w:color w:val="000000"/>
              </w:rPr>
            </w:pPr>
            <w:r w:rsidRPr="00C71073">
              <w:rPr>
                <w:rFonts w:cs="ACaslonPro-Regular"/>
                <w:color w:val="000000"/>
              </w:rPr>
              <w:t>3. Un</w:t>
            </w:r>
            <w:r w:rsidR="00C71073" w:rsidRPr="00C71073">
              <w:rPr>
                <w:rFonts w:cs="ACaslonPro-Regular"/>
                <w:color w:val="000000"/>
              </w:rPr>
              <w:t xml:space="preserve"> système de suivi et une batterie d’indicateurs des avancées vers les cibles de l’environnement mondial(inclus les indicateurs budgétaires) sont établis pour les PCDs et les programmes de l’INDH.</w:t>
            </w:r>
          </w:p>
        </w:tc>
        <w:tc>
          <w:tcPr>
            <w:tcW w:w="1733" w:type="dxa"/>
          </w:tcPr>
          <w:p w:rsidR="00C71073" w:rsidRPr="00687ED2" w:rsidRDefault="00C71073" w:rsidP="00687ED2">
            <w:pPr>
              <w:autoSpaceDE w:val="0"/>
              <w:autoSpaceDN w:val="0"/>
              <w:adjustRightInd w:val="0"/>
              <w:jc w:val="center"/>
              <w:rPr>
                <w:rFonts w:cs="ACaslonPro-Regular"/>
                <w:b/>
                <w:color w:val="000000"/>
              </w:rPr>
            </w:pPr>
            <w:r w:rsidRPr="00687ED2">
              <w:rPr>
                <w:rFonts w:cs="ACaslonPro-Regular"/>
                <w:b/>
                <w:color w:val="000000"/>
              </w:rPr>
              <w:t>MS</w:t>
            </w:r>
          </w:p>
        </w:tc>
      </w:tr>
    </w:tbl>
    <w:p w:rsidR="00C71073" w:rsidRDefault="00C71073" w:rsidP="00AD1A5C">
      <w:pPr>
        <w:autoSpaceDE w:val="0"/>
        <w:autoSpaceDN w:val="0"/>
        <w:adjustRightInd w:val="0"/>
        <w:spacing w:after="0" w:line="240" w:lineRule="auto"/>
        <w:rPr>
          <w:rFonts w:cs="ACaslonPro-Regular"/>
          <w:color w:val="000000"/>
        </w:rPr>
      </w:pPr>
    </w:p>
    <w:p w:rsidR="00D151D4" w:rsidRDefault="00D151D4" w:rsidP="00AD1A5C">
      <w:pPr>
        <w:autoSpaceDE w:val="0"/>
        <w:autoSpaceDN w:val="0"/>
        <w:adjustRightInd w:val="0"/>
        <w:spacing w:after="0" w:line="240" w:lineRule="auto"/>
        <w:rPr>
          <w:rFonts w:cs="ACaslonPro-Regular"/>
          <w:color w:val="000000"/>
        </w:rPr>
      </w:pPr>
    </w:p>
    <w:tbl>
      <w:tblPr>
        <w:tblStyle w:val="Grilledutableau"/>
        <w:tblW w:w="0" w:type="auto"/>
        <w:tblLook w:val="04A0"/>
      </w:tblPr>
      <w:tblGrid>
        <w:gridCol w:w="4077"/>
        <w:gridCol w:w="3969"/>
        <w:gridCol w:w="1242"/>
      </w:tblGrid>
      <w:tr w:rsidR="00B32450" w:rsidTr="00604D3A">
        <w:tc>
          <w:tcPr>
            <w:tcW w:w="9288" w:type="dxa"/>
            <w:gridSpan w:val="3"/>
            <w:shd w:val="clear" w:color="auto" w:fill="BFBFBF" w:themeFill="background1" w:themeFillShade="BF"/>
          </w:tcPr>
          <w:p w:rsidR="00B32450" w:rsidRDefault="00B32450" w:rsidP="00B6658A">
            <w:pPr>
              <w:autoSpaceDE w:val="0"/>
              <w:autoSpaceDN w:val="0"/>
              <w:adjustRightInd w:val="0"/>
              <w:rPr>
                <w:rFonts w:cs="ACaslonPro-Regular"/>
                <w:color w:val="000000"/>
              </w:rPr>
            </w:pPr>
            <w:r>
              <w:rPr>
                <w:rFonts w:cs="ACaslonPro-Regular"/>
                <w:color w:val="000000"/>
              </w:rPr>
              <w:t xml:space="preserve">Résultat 2 : </w:t>
            </w:r>
            <w:r w:rsidRPr="00DE6479">
              <w:rPr>
                <w:rFonts w:cs="ACaslonPro-Regular"/>
                <w:color w:val="000000"/>
              </w:rPr>
              <w:t>Les capacités pour l’intégration systématique des cibles environnementales mondiales dans la planif</w:t>
            </w:r>
            <w:r>
              <w:rPr>
                <w:rFonts w:cs="ACaslonPro-Regular"/>
                <w:color w:val="000000"/>
              </w:rPr>
              <w:t>ication locale sont renforcées.</w:t>
            </w:r>
          </w:p>
        </w:tc>
      </w:tr>
      <w:tr w:rsidR="00B32450" w:rsidTr="00604D3A">
        <w:tc>
          <w:tcPr>
            <w:tcW w:w="4077" w:type="dxa"/>
            <w:shd w:val="clear" w:color="auto" w:fill="BFBFBF" w:themeFill="background1" w:themeFillShade="BF"/>
          </w:tcPr>
          <w:p w:rsidR="00B32450" w:rsidRDefault="00B32450" w:rsidP="00B6658A">
            <w:pPr>
              <w:autoSpaceDE w:val="0"/>
              <w:autoSpaceDN w:val="0"/>
              <w:adjustRightInd w:val="0"/>
              <w:rPr>
                <w:rFonts w:cs="ACaslonPro-Regular"/>
                <w:color w:val="000000"/>
              </w:rPr>
            </w:pPr>
            <w:r>
              <w:rPr>
                <w:rFonts w:cs="ACaslonPro-Regular"/>
                <w:color w:val="000000"/>
              </w:rPr>
              <w:t>Indicateurs</w:t>
            </w:r>
          </w:p>
        </w:tc>
        <w:tc>
          <w:tcPr>
            <w:tcW w:w="3969" w:type="dxa"/>
            <w:shd w:val="clear" w:color="auto" w:fill="BFBFBF" w:themeFill="background1" w:themeFillShade="BF"/>
          </w:tcPr>
          <w:p w:rsidR="00B32450" w:rsidRDefault="00B32450" w:rsidP="00B6658A">
            <w:pPr>
              <w:autoSpaceDE w:val="0"/>
              <w:autoSpaceDN w:val="0"/>
              <w:adjustRightInd w:val="0"/>
              <w:rPr>
                <w:rFonts w:cs="ACaslonPro-Regular"/>
                <w:color w:val="000000"/>
              </w:rPr>
            </w:pPr>
            <w:r>
              <w:rPr>
                <w:rFonts w:cs="ACaslonPro-Regular"/>
                <w:color w:val="000000"/>
              </w:rPr>
              <w:t xml:space="preserve">Cibles </w:t>
            </w:r>
          </w:p>
        </w:tc>
        <w:tc>
          <w:tcPr>
            <w:tcW w:w="1242" w:type="dxa"/>
            <w:shd w:val="clear" w:color="auto" w:fill="BFBFBF" w:themeFill="background1" w:themeFillShade="BF"/>
          </w:tcPr>
          <w:p w:rsidR="00B32450" w:rsidRDefault="00B32450" w:rsidP="00B6658A">
            <w:pPr>
              <w:autoSpaceDE w:val="0"/>
              <w:autoSpaceDN w:val="0"/>
              <w:adjustRightInd w:val="0"/>
              <w:rPr>
                <w:rFonts w:cs="ACaslonPro-Regular"/>
                <w:color w:val="000000"/>
              </w:rPr>
            </w:pPr>
            <w:r>
              <w:rPr>
                <w:rFonts w:cs="ACaslonPro-Regular"/>
                <w:color w:val="000000"/>
              </w:rPr>
              <w:t>Réalisation</w:t>
            </w:r>
          </w:p>
        </w:tc>
      </w:tr>
      <w:tr w:rsidR="00B32450" w:rsidTr="00B32450">
        <w:tc>
          <w:tcPr>
            <w:tcW w:w="4077" w:type="dxa"/>
          </w:tcPr>
          <w:p w:rsidR="00B32450" w:rsidRDefault="005D4497" w:rsidP="00B6658A">
            <w:pPr>
              <w:autoSpaceDE w:val="0"/>
              <w:autoSpaceDN w:val="0"/>
              <w:adjustRightInd w:val="0"/>
              <w:rPr>
                <w:rFonts w:cs="ACaslonPro-Regular"/>
                <w:color w:val="000000"/>
              </w:rPr>
            </w:pPr>
            <w:r>
              <w:rPr>
                <w:rFonts w:cs="ACaslonPro-Regular"/>
                <w:color w:val="000000"/>
              </w:rPr>
              <w:t>1.</w:t>
            </w:r>
            <w:r w:rsidRPr="00DE6479">
              <w:rPr>
                <w:rFonts w:cs="ACaslonPro-Regular"/>
                <w:color w:val="000000"/>
              </w:rPr>
              <w:t xml:space="preserve"> Nombre</w:t>
            </w:r>
            <w:r w:rsidR="00B32450" w:rsidRPr="00DE6479">
              <w:rPr>
                <w:rFonts w:cs="ACaslonPro-Regular"/>
                <w:color w:val="000000"/>
              </w:rPr>
              <w:t xml:space="preserve"> d’acteurs clés en charge de l’INDH et des PCD qui disposent des capacités pour l’intégration des priorités de l’environnement mondial.</w:t>
            </w:r>
          </w:p>
        </w:tc>
        <w:tc>
          <w:tcPr>
            <w:tcW w:w="3969" w:type="dxa"/>
          </w:tcPr>
          <w:p w:rsidR="00B32450" w:rsidRDefault="00B32450" w:rsidP="00DE6479">
            <w:pPr>
              <w:autoSpaceDE w:val="0"/>
              <w:autoSpaceDN w:val="0"/>
              <w:adjustRightInd w:val="0"/>
              <w:rPr>
                <w:rFonts w:cs="ACaslonPro-Regular"/>
                <w:color w:val="000000"/>
              </w:rPr>
            </w:pPr>
            <w:r w:rsidRPr="00DE6479">
              <w:rPr>
                <w:rFonts w:cs="ACaslonPro-Regular"/>
                <w:color w:val="000000"/>
              </w:rPr>
              <w:t>Au moins 20 institutions et 200 cadres clés formés et disposent des outils pour l’intégration de l’environnement dans INDH et PCD.</w:t>
            </w:r>
          </w:p>
        </w:tc>
        <w:tc>
          <w:tcPr>
            <w:tcW w:w="1242" w:type="dxa"/>
          </w:tcPr>
          <w:p w:rsidR="00B32450" w:rsidRDefault="00B32450" w:rsidP="00B6658A">
            <w:pPr>
              <w:autoSpaceDE w:val="0"/>
              <w:autoSpaceDN w:val="0"/>
              <w:adjustRightInd w:val="0"/>
              <w:rPr>
                <w:rFonts w:cs="ACaslonPro-Regular"/>
                <w:color w:val="000000"/>
              </w:rPr>
            </w:pPr>
            <w:r>
              <w:rPr>
                <w:rFonts w:cs="ACaslonPro-Regular"/>
                <w:color w:val="000000"/>
              </w:rPr>
              <w:t>100%</w:t>
            </w:r>
          </w:p>
        </w:tc>
      </w:tr>
      <w:tr w:rsidR="00B32450" w:rsidTr="00B32450">
        <w:tc>
          <w:tcPr>
            <w:tcW w:w="4077" w:type="dxa"/>
          </w:tcPr>
          <w:p w:rsidR="00B32450" w:rsidRDefault="005D4497" w:rsidP="00B6658A">
            <w:pPr>
              <w:autoSpaceDE w:val="0"/>
              <w:autoSpaceDN w:val="0"/>
              <w:adjustRightInd w:val="0"/>
              <w:rPr>
                <w:rFonts w:cs="ACaslonPro-Regular"/>
                <w:color w:val="000000"/>
              </w:rPr>
            </w:pPr>
            <w:r>
              <w:rPr>
                <w:rFonts w:cs="ACaslonPro-Regular"/>
                <w:color w:val="000000"/>
              </w:rPr>
              <w:t>2.</w:t>
            </w:r>
            <w:r w:rsidRPr="00DE6479">
              <w:rPr>
                <w:rFonts w:cs="ACaslonPro-Regular"/>
                <w:color w:val="000000"/>
              </w:rPr>
              <w:t xml:space="preserve"> Degré</w:t>
            </w:r>
            <w:r w:rsidR="00B32450" w:rsidRPr="00DE6479">
              <w:rPr>
                <w:rFonts w:cs="ACaslonPro-Regular"/>
                <w:color w:val="000000"/>
              </w:rPr>
              <w:t xml:space="preserve"> d’intégration des priorités de la gestion environnementale mondiale dans l’INDH et les PCD.</w:t>
            </w:r>
          </w:p>
        </w:tc>
        <w:tc>
          <w:tcPr>
            <w:tcW w:w="3969" w:type="dxa"/>
          </w:tcPr>
          <w:p w:rsidR="00B32450" w:rsidRDefault="00B32450" w:rsidP="00B6658A">
            <w:pPr>
              <w:autoSpaceDE w:val="0"/>
              <w:autoSpaceDN w:val="0"/>
              <w:adjustRightInd w:val="0"/>
              <w:rPr>
                <w:rFonts w:cs="ACaslonPro-Regular"/>
                <w:color w:val="000000"/>
              </w:rPr>
            </w:pPr>
            <w:r w:rsidRPr="00DE6479">
              <w:rPr>
                <w:rFonts w:cs="ACaslonPro-Regular"/>
                <w:color w:val="000000"/>
              </w:rPr>
              <w:t xml:space="preserve">Au moins 4 PCD et 10 initiatives INDH </w:t>
            </w:r>
            <w:r w:rsidR="005D4497" w:rsidRPr="00DE6479">
              <w:rPr>
                <w:rFonts w:cs="ACaslonPro-Regular"/>
                <w:color w:val="000000"/>
              </w:rPr>
              <w:t>intègrent de manière</w:t>
            </w:r>
            <w:r w:rsidRPr="00DE6479">
              <w:rPr>
                <w:rFonts w:cs="ACaslonPro-Regular"/>
                <w:color w:val="000000"/>
              </w:rPr>
              <w:t xml:space="preserve"> systématique les priorités de l’environnement mondial.</w:t>
            </w:r>
          </w:p>
        </w:tc>
        <w:tc>
          <w:tcPr>
            <w:tcW w:w="1242" w:type="dxa"/>
          </w:tcPr>
          <w:p w:rsidR="00B32450" w:rsidRDefault="00D151D4" w:rsidP="00B6658A">
            <w:pPr>
              <w:autoSpaceDE w:val="0"/>
              <w:autoSpaceDN w:val="0"/>
              <w:adjustRightInd w:val="0"/>
              <w:rPr>
                <w:rFonts w:cs="ACaslonPro-Regular"/>
                <w:color w:val="000000"/>
              </w:rPr>
            </w:pPr>
            <w:r>
              <w:rPr>
                <w:rFonts w:cs="ACaslonPro-Regular"/>
                <w:color w:val="000000"/>
              </w:rPr>
              <w:t>8</w:t>
            </w:r>
            <w:r w:rsidR="00B32450">
              <w:rPr>
                <w:rFonts w:cs="ACaslonPro-Regular"/>
                <w:color w:val="000000"/>
              </w:rPr>
              <w:t>0%</w:t>
            </w:r>
          </w:p>
        </w:tc>
      </w:tr>
      <w:tr w:rsidR="00B32450" w:rsidTr="00B32450">
        <w:tc>
          <w:tcPr>
            <w:tcW w:w="4077" w:type="dxa"/>
          </w:tcPr>
          <w:p w:rsidR="00B32450" w:rsidRDefault="005D4497" w:rsidP="00B6658A">
            <w:pPr>
              <w:autoSpaceDE w:val="0"/>
              <w:autoSpaceDN w:val="0"/>
              <w:adjustRightInd w:val="0"/>
              <w:rPr>
                <w:rFonts w:cs="ACaslonPro-Regular"/>
                <w:color w:val="000000"/>
              </w:rPr>
            </w:pPr>
            <w:r>
              <w:rPr>
                <w:rFonts w:cs="ACaslonPro-Regular"/>
                <w:color w:val="000000"/>
              </w:rPr>
              <w:t>3.</w:t>
            </w:r>
            <w:r w:rsidRPr="00DE6479">
              <w:rPr>
                <w:rFonts w:cs="ACaslonPro-Regular"/>
                <w:color w:val="000000"/>
              </w:rPr>
              <w:t xml:space="preserve"> Taux</w:t>
            </w:r>
            <w:r w:rsidR="00B32450" w:rsidRPr="00DE6479">
              <w:rPr>
                <w:rFonts w:cs="ACaslonPro-Regular"/>
                <w:color w:val="000000"/>
              </w:rPr>
              <w:t xml:space="preserve"> d’augmentation du budget affecté aux actions environnementales dans le cadre de l’INDH et des PCDs.</w:t>
            </w:r>
          </w:p>
        </w:tc>
        <w:tc>
          <w:tcPr>
            <w:tcW w:w="3969" w:type="dxa"/>
          </w:tcPr>
          <w:p w:rsidR="00B32450" w:rsidRDefault="00B32450" w:rsidP="00B6658A">
            <w:pPr>
              <w:autoSpaceDE w:val="0"/>
              <w:autoSpaceDN w:val="0"/>
              <w:adjustRightInd w:val="0"/>
              <w:rPr>
                <w:rFonts w:cs="ACaslonPro-Regular"/>
                <w:color w:val="000000"/>
              </w:rPr>
            </w:pPr>
            <w:r w:rsidRPr="00DE6479">
              <w:rPr>
                <w:rFonts w:cs="ACaslonPro-Regular"/>
                <w:color w:val="000000"/>
              </w:rPr>
              <w:t>Au moins 10% d’augmentation des budgets de l’INDH et des PCDs testés sont consacrées à la gestion environnementale mondiale.</w:t>
            </w:r>
          </w:p>
        </w:tc>
        <w:tc>
          <w:tcPr>
            <w:tcW w:w="1242" w:type="dxa"/>
          </w:tcPr>
          <w:p w:rsidR="00B32450" w:rsidRDefault="00D151D4" w:rsidP="00B6658A">
            <w:pPr>
              <w:autoSpaceDE w:val="0"/>
              <w:autoSpaceDN w:val="0"/>
              <w:adjustRightInd w:val="0"/>
              <w:rPr>
                <w:rFonts w:cs="ACaslonPro-Regular"/>
                <w:color w:val="000000"/>
              </w:rPr>
            </w:pPr>
            <w:r>
              <w:rPr>
                <w:rFonts w:cs="ACaslonPro-Regular"/>
                <w:color w:val="000000"/>
              </w:rPr>
              <w:t>8</w:t>
            </w:r>
            <w:r w:rsidR="00B32450">
              <w:rPr>
                <w:rFonts w:cs="ACaslonPro-Regular"/>
                <w:color w:val="000000"/>
              </w:rPr>
              <w:t>0%</w:t>
            </w:r>
          </w:p>
        </w:tc>
      </w:tr>
      <w:tr w:rsidR="00B32450" w:rsidTr="00B32450">
        <w:tc>
          <w:tcPr>
            <w:tcW w:w="4077" w:type="dxa"/>
          </w:tcPr>
          <w:p w:rsidR="00B32450" w:rsidRDefault="00C71073" w:rsidP="00B6658A">
            <w:pPr>
              <w:autoSpaceDE w:val="0"/>
              <w:autoSpaceDN w:val="0"/>
              <w:adjustRightInd w:val="0"/>
              <w:rPr>
                <w:rFonts w:cs="ACaslonPro-Regular"/>
                <w:color w:val="000000"/>
              </w:rPr>
            </w:pPr>
            <w:r>
              <w:rPr>
                <w:rFonts w:cs="ACaslonPro-Regular"/>
                <w:color w:val="000000"/>
              </w:rPr>
              <w:t xml:space="preserve">4. </w:t>
            </w:r>
            <w:r w:rsidR="00B32450" w:rsidRPr="00DE6479">
              <w:rPr>
                <w:rFonts w:cs="ACaslonPro-Regular"/>
                <w:color w:val="000000"/>
              </w:rPr>
              <w:t xml:space="preserve">Une stratégie de généralisation des mécanismes de coordination, des outils et </w:t>
            </w:r>
            <w:r w:rsidR="00B32450" w:rsidRPr="00DE6479">
              <w:rPr>
                <w:rFonts w:cs="ACaslonPro-Regular"/>
                <w:color w:val="000000"/>
              </w:rPr>
              <w:lastRenderedPageBreak/>
              <w:t>du développement des capacités est validée.</w:t>
            </w:r>
          </w:p>
        </w:tc>
        <w:tc>
          <w:tcPr>
            <w:tcW w:w="3969" w:type="dxa"/>
          </w:tcPr>
          <w:p w:rsidR="00B32450" w:rsidRDefault="00B32450" w:rsidP="00B6658A">
            <w:pPr>
              <w:autoSpaceDE w:val="0"/>
              <w:autoSpaceDN w:val="0"/>
              <w:adjustRightInd w:val="0"/>
              <w:rPr>
                <w:rFonts w:cs="ACaslonPro-Regular"/>
                <w:color w:val="000000"/>
              </w:rPr>
            </w:pPr>
            <w:r w:rsidRPr="00054F26">
              <w:rPr>
                <w:rFonts w:cs="ACaslonPro-Regular"/>
                <w:color w:val="000000"/>
              </w:rPr>
              <w:lastRenderedPageBreak/>
              <w:t xml:space="preserve">Une stratégie de généralisation des outils d’intégration de l’environnement mondial </w:t>
            </w:r>
            <w:r w:rsidRPr="00054F26">
              <w:rPr>
                <w:rFonts w:cs="ACaslonPro-Regular"/>
                <w:color w:val="000000"/>
              </w:rPr>
              <w:lastRenderedPageBreak/>
              <w:t>dans INDH et PCD est validée.</w:t>
            </w:r>
          </w:p>
        </w:tc>
        <w:tc>
          <w:tcPr>
            <w:tcW w:w="1242" w:type="dxa"/>
          </w:tcPr>
          <w:p w:rsidR="00B32450" w:rsidRDefault="00B32450" w:rsidP="00B6658A">
            <w:pPr>
              <w:autoSpaceDE w:val="0"/>
              <w:autoSpaceDN w:val="0"/>
              <w:adjustRightInd w:val="0"/>
              <w:rPr>
                <w:rFonts w:cs="ACaslonPro-Regular"/>
                <w:color w:val="000000"/>
              </w:rPr>
            </w:pPr>
            <w:r>
              <w:rPr>
                <w:rFonts w:cs="ACaslonPro-Regular"/>
                <w:color w:val="000000"/>
              </w:rPr>
              <w:lastRenderedPageBreak/>
              <w:t>50%</w:t>
            </w:r>
          </w:p>
        </w:tc>
      </w:tr>
    </w:tbl>
    <w:p w:rsidR="00DE6479" w:rsidRDefault="00DE6479" w:rsidP="00AD1A5C">
      <w:pPr>
        <w:autoSpaceDE w:val="0"/>
        <w:autoSpaceDN w:val="0"/>
        <w:adjustRightInd w:val="0"/>
        <w:spacing w:after="0" w:line="240" w:lineRule="auto"/>
        <w:rPr>
          <w:rFonts w:cs="ACaslonPro-Regular"/>
          <w:color w:val="000000"/>
        </w:rPr>
      </w:pPr>
    </w:p>
    <w:p w:rsidR="002A72AB" w:rsidRDefault="00365823" w:rsidP="00AD1A5C">
      <w:pPr>
        <w:autoSpaceDE w:val="0"/>
        <w:autoSpaceDN w:val="0"/>
        <w:adjustRightInd w:val="0"/>
        <w:spacing w:after="0" w:line="240" w:lineRule="auto"/>
        <w:rPr>
          <w:rFonts w:cs="ACaslonPro-Regular"/>
          <w:color w:val="000000"/>
        </w:rPr>
      </w:pPr>
      <w:r>
        <w:rPr>
          <w:rFonts w:cs="ACaslonPro-Regular"/>
          <w:color w:val="000000"/>
        </w:rPr>
        <w:t>Indicateur 1 :</w:t>
      </w:r>
      <w:r w:rsidR="002A72AB">
        <w:rPr>
          <w:rFonts w:cs="ACaslonPro-Regular"/>
          <w:color w:val="000000"/>
        </w:rPr>
        <w:t xml:space="preserve"> 6</w:t>
      </w:r>
      <w:r w:rsidR="00B400DD">
        <w:rPr>
          <w:rFonts w:cs="ACaslonPro-Regular"/>
          <w:color w:val="000000"/>
        </w:rPr>
        <w:t>2</w:t>
      </w:r>
      <w:r>
        <w:rPr>
          <w:rFonts w:cs="ACaslonPro-Regular"/>
          <w:color w:val="000000"/>
        </w:rPr>
        <w:t xml:space="preserve"> institutions et au moins 200 cadres disposent des</w:t>
      </w:r>
      <w:r w:rsidR="002A72AB">
        <w:rPr>
          <w:rFonts w:cs="ACaslonPro-Regular"/>
          <w:color w:val="000000"/>
        </w:rPr>
        <w:t xml:space="preserve"> capacités pour l’intégration de la démarche IEL au niveau des trois régions pilotes.</w:t>
      </w:r>
    </w:p>
    <w:p w:rsidR="00365823" w:rsidRDefault="00365823" w:rsidP="00AD1A5C">
      <w:pPr>
        <w:autoSpaceDE w:val="0"/>
        <w:autoSpaceDN w:val="0"/>
        <w:adjustRightInd w:val="0"/>
        <w:spacing w:after="0" w:line="240" w:lineRule="auto"/>
        <w:rPr>
          <w:rFonts w:cs="ACaslonPro-Regular"/>
          <w:color w:val="000000"/>
        </w:rPr>
      </w:pPr>
    </w:p>
    <w:p w:rsidR="00D151D4" w:rsidRDefault="00D151D4" w:rsidP="00AD1A5C">
      <w:pPr>
        <w:autoSpaceDE w:val="0"/>
        <w:autoSpaceDN w:val="0"/>
        <w:adjustRightInd w:val="0"/>
        <w:spacing w:after="0" w:line="240" w:lineRule="auto"/>
        <w:rPr>
          <w:rFonts w:cs="ACaslonPro-Regular"/>
          <w:color w:val="000000"/>
        </w:rPr>
      </w:pPr>
      <w:r>
        <w:rPr>
          <w:rFonts w:cs="ACaslonPro-Regular"/>
          <w:color w:val="000000"/>
        </w:rPr>
        <w:t>Indicateur 2 : 3</w:t>
      </w:r>
      <w:r w:rsidR="00B400DD">
        <w:rPr>
          <w:rFonts w:cs="ACaslonPro-Regular"/>
          <w:color w:val="000000"/>
        </w:rPr>
        <w:t>1</w:t>
      </w:r>
      <w:r>
        <w:rPr>
          <w:rFonts w:cs="ACaslonPro-Regular"/>
          <w:color w:val="000000"/>
        </w:rPr>
        <w:t xml:space="preserve"> PCD </w:t>
      </w:r>
      <w:r w:rsidR="00B400DD" w:rsidRPr="00D151D4">
        <w:rPr>
          <w:rFonts w:cs="ACaslonPro-Regular"/>
          <w:color w:val="000000"/>
        </w:rPr>
        <w:t>intègrent de manière</w:t>
      </w:r>
      <w:r w:rsidRPr="00D151D4">
        <w:rPr>
          <w:rFonts w:cs="ACaslonPro-Regular"/>
          <w:color w:val="000000"/>
        </w:rPr>
        <w:t xml:space="preserve"> systématique les priorités de l’environnement mondial.</w:t>
      </w:r>
      <w:r>
        <w:rPr>
          <w:rFonts w:cs="ACaslonPro-Regular"/>
          <w:color w:val="000000"/>
        </w:rPr>
        <w:t xml:space="preserve"> Cependant, aucune ILDH n’a intégré la démarche IEL.</w:t>
      </w:r>
    </w:p>
    <w:p w:rsidR="00D151D4" w:rsidRDefault="00D151D4" w:rsidP="00AD1A5C">
      <w:pPr>
        <w:autoSpaceDE w:val="0"/>
        <w:autoSpaceDN w:val="0"/>
        <w:adjustRightInd w:val="0"/>
        <w:spacing w:after="0" w:line="240" w:lineRule="auto"/>
        <w:rPr>
          <w:rFonts w:cs="ACaslonPro-Regular"/>
          <w:color w:val="000000"/>
        </w:rPr>
      </w:pPr>
    </w:p>
    <w:p w:rsidR="00D151D4" w:rsidRDefault="00D151D4" w:rsidP="00AD1A5C">
      <w:pPr>
        <w:autoSpaceDE w:val="0"/>
        <w:autoSpaceDN w:val="0"/>
        <w:adjustRightInd w:val="0"/>
        <w:spacing w:after="0" w:line="240" w:lineRule="auto"/>
        <w:rPr>
          <w:rFonts w:cs="ACaslonPro-Regular"/>
          <w:color w:val="000000"/>
        </w:rPr>
      </w:pPr>
      <w:r>
        <w:rPr>
          <w:rFonts w:cs="ACaslonPro-Regular"/>
          <w:color w:val="000000"/>
        </w:rPr>
        <w:t xml:space="preserve">Indicateur 3 : Les PCD des communes pilotes qui ont intégré la démarche IEL présentent une budgétisation et une programmation annuelle. Cependant, ces PCD n’ont pas </w:t>
      </w:r>
      <w:r w:rsidR="00B400DD">
        <w:rPr>
          <w:rFonts w:cs="ACaslonPro-Regular"/>
          <w:color w:val="000000"/>
        </w:rPr>
        <w:t xml:space="preserve">encore </w:t>
      </w:r>
      <w:r>
        <w:rPr>
          <w:rFonts w:cs="ACaslonPro-Regular"/>
          <w:color w:val="000000"/>
        </w:rPr>
        <w:t xml:space="preserve">été </w:t>
      </w:r>
      <w:r w:rsidR="00B400DD">
        <w:rPr>
          <w:rFonts w:cs="ACaslonPro-Regular"/>
          <w:color w:val="000000"/>
        </w:rPr>
        <w:t>soumis à l’</w:t>
      </w:r>
      <w:r>
        <w:rPr>
          <w:rFonts w:cs="ACaslonPro-Regular"/>
          <w:color w:val="000000"/>
        </w:rPr>
        <w:t>adopt</w:t>
      </w:r>
      <w:r w:rsidR="00B400DD">
        <w:rPr>
          <w:rFonts w:cs="ACaslonPro-Regular"/>
          <w:color w:val="000000"/>
        </w:rPr>
        <w:t>ion</w:t>
      </w:r>
      <w:r>
        <w:rPr>
          <w:rFonts w:cs="ACaslonPro-Regular"/>
          <w:color w:val="000000"/>
        </w:rPr>
        <w:t xml:space="preserve"> par les conseils communaux. En outre, aucune ILDH n’a intégré la démarche IEL.</w:t>
      </w:r>
    </w:p>
    <w:p w:rsidR="00D151D4" w:rsidRDefault="00D151D4" w:rsidP="00AD1A5C">
      <w:pPr>
        <w:autoSpaceDE w:val="0"/>
        <w:autoSpaceDN w:val="0"/>
        <w:adjustRightInd w:val="0"/>
        <w:spacing w:after="0" w:line="240" w:lineRule="auto"/>
        <w:rPr>
          <w:rFonts w:cs="ACaslonPro-Regular"/>
          <w:color w:val="000000"/>
        </w:rPr>
      </w:pPr>
    </w:p>
    <w:p w:rsidR="00D151D4" w:rsidRDefault="00D151D4" w:rsidP="00CD3FE4">
      <w:pPr>
        <w:autoSpaceDE w:val="0"/>
        <w:autoSpaceDN w:val="0"/>
        <w:adjustRightInd w:val="0"/>
        <w:spacing w:after="0" w:line="240" w:lineRule="auto"/>
        <w:jc w:val="both"/>
        <w:rPr>
          <w:rFonts w:cs="ACaslonPro-Regular"/>
          <w:color w:val="000000"/>
        </w:rPr>
      </w:pPr>
      <w:r>
        <w:rPr>
          <w:rFonts w:cs="ACaslonPro-Regular"/>
          <w:color w:val="000000"/>
        </w:rPr>
        <w:t xml:space="preserve">Indicateur 4 : </w:t>
      </w:r>
      <w:r w:rsidR="00CD3FE4">
        <w:rPr>
          <w:rFonts w:cs="ACaslonPro-Regular"/>
          <w:color w:val="000000"/>
        </w:rPr>
        <w:t>La stratégie de généralisation n’est pas élaborée à la date de l’évaluation finale du projet CB2. Elle est en cours. Cependant, le MDCE a budgétisé 1 MDH pour assurer la formation des formateurs sur les outils méthodologiques développés dans le cadre du projet CB2. Le MDCE est en contact avec la DFCAT-DGCL pour élaborer le plan de formation des formateurs qui seront les 95 Agents de Développement Provincial-Préfectoral (ADP).</w:t>
      </w:r>
    </w:p>
    <w:p w:rsidR="00C71073" w:rsidRDefault="00C71073" w:rsidP="00CD3FE4">
      <w:pPr>
        <w:autoSpaceDE w:val="0"/>
        <w:autoSpaceDN w:val="0"/>
        <w:adjustRightInd w:val="0"/>
        <w:spacing w:after="0" w:line="240" w:lineRule="auto"/>
        <w:jc w:val="both"/>
        <w:rPr>
          <w:rFonts w:cs="ACaslonPro-Regular"/>
          <w:color w:val="000000"/>
        </w:rPr>
      </w:pPr>
    </w:p>
    <w:p w:rsidR="00687ED2" w:rsidRDefault="00687ED2" w:rsidP="00CD3FE4">
      <w:pPr>
        <w:autoSpaceDE w:val="0"/>
        <w:autoSpaceDN w:val="0"/>
        <w:adjustRightInd w:val="0"/>
        <w:spacing w:after="0" w:line="240" w:lineRule="auto"/>
        <w:jc w:val="both"/>
        <w:rPr>
          <w:rFonts w:cs="ACaslonPro-Regular"/>
          <w:color w:val="000000"/>
        </w:rPr>
      </w:pPr>
      <w:r>
        <w:rPr>
          <w:rFonts w:cs="ACaslonPro-Regular"/>
          <w:color w:val="000000"/>
        </w:rPr>
        <w:t>Notations :</w:t>
      </w:r>
    </w:p>
    <w:tbl>
      <w:tblPr>
        <w:tblStyle w:val="Grilledutableau"/>
        <w:tblW w:w="0" w:type="auto"/>
        <w:tblLook w:val="04A0"/>
      </w:tblPr>
      <w:tblGrid>
        <w:gridCol w:w="7479"/>
        <w:gridCol w:w="1733"/>
      </w:tblGrid>
      <w:tr w:rsidR="00C71073" w:rsidRPr="00C71073" w:rsidTr="00B6658A">
        <w:tc>
          <w:tcPr>
            <w:tcW w:w="7479" w:type="dxa"/>
            <w:shd w:val="clear" w:color="auto" w:fill="BFBFBF" w:themeFill="background1" w:themeFillShade="BF"/>
          </w:tcPr>
          <w:p w:rsidR="00C71073" w:rsidRPr="00C71073" w:rsidRDefault="00C71073" w:rsidP="00B6658A">
            <w:pPr>
              <w:autoSpaceDE w:val="0"/>
              <w:autoSpaceDN w:val="0"/>
              <w:adjustRightInd w:val="0"/>
              <w:jc w:val="center"/>
              <w:rPr>
                <w:rFonts w:cs="ACaslonPro-Regular"/>
                <w:b/>
                <w:color w:val="000000"/>
              </w:rPr>
            </w:pPr>
            <w:r w:rsidRPr="00C71073">
              <w:rPr>
                <w:rFonts w:cs="ACaslonPro-Regular"/>
                <w:b/>
                <w:color w:val="000000"/>
              </w:rPr>
              <w:t>Indicateurs</w:t>
            </w:r>
          </w:p>
        </w:tc>
        <w:tc>
          <w:tcPr>
            <w:tcW w:w="1733" w:type="dxa"/>
            <w:shd w:val="clear" w:color="auto" w:fill="BFBFBF" w:themeFill="background1" w:themeFillShade="BF"/>
          </w:tcPr>
          <w:p w:rsidR="00C71073" w:rsidRPr="00687ED2" w:rsidRDefault="00C71073" w:rsidP="00687ED2">
            <w:pPr>
              <w:autoSpaceDE w:val="0"/>
              <w:autoSpaceDN w:val="0"/>
              <w:adjustRightInd w:val="0"/>
              <w:jc w:val="center"/>
              <w:rPr>
                <w:rFonts w:cs="ACaslonPro-Regular"/>
                <w:b/>
                <w:color w:val="000000"/>
              </w:rPr>
            </w:pPr>
            <w:r w:rsidRPr="00687ED2">
              <w:rPr>
                <w:rFonts w:cs="ACaslonPro-Regular"/>
                <w:b/>
                <w:color w:val="000000"/>
              </w:rPr>
              <w:t>Notation</w:t>
            </w:r>
          </w:p>
        </w:tc>
      </w:tr>
      <w:tr w:rsidR="00C71073" w:rsidTr="00B6658A">
        <w:tc>
          <w:tcPr>
            <w:tcW w:w="7479" w:type="dxa"/>
          </w:tcPr>
          <w:p w:rsidR="00C71073" w:rsidRPr="00C118A2" w:rsidRDefault="005D4497" w:rsidP="00B6658A">
            <w:r w:rsidRPr="00C118A2">
              <w:t>1. Nombre</w:t>
            </w:r>
            <w:r w:rsidR="00C71073" w:rsidRPr="00C118A2">
              <w:t xml:space="preserve"> d’acteurs clés en charge de l’INDH et des PCD qui disposent des capacités pour l’intégration des priorités de l’environnement mondial.</w:t>
            </w:r>
          </w:p>
        </w:tc>
        <w:tc>
          <w:tcPr>
            <w:tcW w:w="1733" w:type="dxa"/>
          </w:tcPr>
          <w:p w:rsidR="00C71073" w:rsidRPr="00687ED2" w:rsidRDefault="00687ED2" w:rsidP="00687ED2">
            <w:pPr>
              <w:autoSpaceDE w:val="0"/>
              <w:autoSpaceDN w:val="0"/>
              <w:adjustRightInd w:val="0"/>
              <w:jc w:val="center"/>
              <w:rPr>
                <w:rFonts w:cs="ACaslonPro-Regular"/>
                <w:b/>
                <w:color w:val="000000"/>
              </w:rPr>
            </w:pPr>
            <w:r w:rsidRPr="00687ED2">
              <w:rPr>
                <w:rFonts w:cs="ACaslonPro-Regular"/>
                <w:b/>
                <w:color w:val="000000"/>
              </w:rPr>
              <w:t>H</w:t>
            </w:r>
            <w:r w:rsidR="00C71073" w:rsidRPr="00687ED2">
              <w:rPr>
                <w:rFonts w:cs="ACaslonPro-Regular"/>
                <w:b/>
                <w:color w:val="000000"/>
              </w:rPr>
              <w:t>S</w:t>
            </w:r>
          </w:p>
        </w:tc>
      </w:tr>
      <w:tr w:rsidR="00C71073" w:rsidTr="00B6658A">
        <w:tc>
          <w:tcPr>
            <w:tcW w:w="7479" w:type="dxa"/>
          </w:tcPr>
          <w:p w:rsidR="00C71073" w:rsidRPr="00C118A2" w:rsidRDefault="005D4497" w:rsidP="00B6658A">
            <w:r w:rsidRPr="00C118A2">
              <w:t>2. Degré</w:t>
            </w:r>
            <w:r w:rsidR="00C71073" w:rsidRPr="00C118A2">
              <w:t xml:space="preserve"> d’intégration des priorités de la gestion environnementale mondiale dans l’INDH et les PCD.</w:t>
            </w:r>
          </w:p>
        </w:tc>
        <w:tc>
          <w:tcPr>
            <w:tcW w:w="1733" w:type="dxa"/>
          </w:tcPr>
          <w:p w:rsidR="00C71073" w:rsidRPr="00687ED2" w:rsidRDefault="00C71073" w:rsidP="00687ED2">
            <w:pPr>
              <w:autoSpaceDE w:val="0"/>
              <w:autoSpaceDN w:val="0"/>
              <w:adjustRightInd w:val="0"/>
              <w:jc w:val="center"/>
              <w:rPr>
                <w:rFonts w:cs="ACaslonPro-Regular"/>
                <w:b/>
                <w:color w:val="000000"/>
              </w:rPr>
            </w:pPr>
            <w:r w:rsidRPr="00687ED2">
              <w:rPr>
                <w:rFonts w:cs="ACaslonPro-Regular"/>
                <w:b/>
                <w:color w:val="000000"/>
              </w:rPr>
              <w:t>S</w:t>
            </w:r>
          </w:p>
        </w:tc>
      </w:tr>
      <w:tr w:rsidR="00C71073" w:rsidTr="00B6658A">
        <w:tc>
          <w:tcPr>
            <w:tcW w:w="7479" w:type="dxa"/>
          </w:tcPr>
          <w:p w:rsidR="00C71073" w:rsidRPr="00C118A2" w:rsidRDefault="00C71073" w:rsidP="00B6658A">
            <w:r w:rsidRPr="00C118A2">
              <w:t>3.Taux d’augmentation du budget affecté aux actions environnementales dans le cadre de l’INDH et des PCDs.</w:t>
            </w:r>
          </w:p>
        </w:tc>
        <w:tc>
          <w:tcPr>
            <w:tcW w:w="1733" w:type="dxa"/>
          </w:tcPr>
          <w:p w:rsidR="00C71073" w:rsidRPr="00687ED2" w:rsidRDefault="00C71073" w:rsidP="00687ED2">
            <w:pPr>
              <w:autoSpaceDE w:val="0"/>
              <w:autoSpaceDN w:val="0"/>
              <w:adjustRightInd w:val="0"/>
              <w:jc w:val="center"/>
              <w:rPr>
                <w:rFonts w:cs="ACaslonPro-Regular"/>
                <w:b/>
                <w:color w:val="000000"/>
              </w:rPr>
            </w:pPr>
            <w:r w:rsidRPr="00687ED2">
              <w:rPr>
                <w:rFonts w:cs="ACaslonPro-Regular"/>
                <w:b/>
                <w:color w:val="000000"/>
              </w:rPr>
              <w:t>S</w:t>
            </w:r>
          </w:p>
        </w:tc>
      </w:tr>
      <w:tr w:rsidR="00C71073" w:rsidTr="00B6658A">
        <w:tc>
          <w:tcPr>
            <w:tcW w:w="7479" w:type="dxa"/>
          </w:tcPr>
          <w:p w:rsidR="00C71073" w:rsidRDefault="00C71073" w:rsidP="00B6658A">
            <w:r w:rsidRPr="00C118A2">
              <w:t>4. Une stratégie de généralisation des mécanismes de coordination, des outils et du développement des capacités est validée.</w:t>
            </w:r>
          </w:p>
        </w:tc>
        <w:tc>
          <w:tcPr>
            <w:tcW w:w="1733" w:type="dxa"/>
          </w:tcPr>
          <w:p w:rsidR="00C71073" w:rsidRPr="00687ED2" w:rsidRDefault="00687ED2" w:rsidP="00687ED2">
            <w:pPr>
              <w:autoSpaceDE w:val="0"/>
              <w:autoSpaceDN w:val="0"/>
              <w:adjustRightInd w:val="0"/>
              <w:jc w:val="center"/>
              <w:rPr>
                <w:rFonts w:cs="ACaslonPro-Regular"/>
                <w:b/>
                <w:color w:val="000000"/>
              </w:rPr>
            </w:pPr>
            <w:r w:rsidRPr="00687ED2">
              <w:rPr>
                <w:rFonts w:cs="ACaslonPro-Regular"/>
                <w:b/>
                <w:color w:val="000000"/>
              </w:rPr>
              <w:t>MS</w:t>
            </w:r>
          </w:p>
        </w:tc>
      </w:tr>
    </w:tbl>
    <w:p w:rsidR="00C71073" w:rsidRDefault="00C71073" w:rsidP="00CD3FE4">
      <w:pPr>
        <w:autoSpaceDE w:val="0"/>
        <w:autoSpaceDN w:val="0"/>
        <w:adjustRightInd w:val="0"/>
        <w:spacing w:after="0" w:line="240" w:lineRule="auto"/>
        <w:jc w:val="both"/>
        <w:rPr>
          <w:rFonts w:cs="ACaslonPro-Regular"/>
          <w:color w:val="000000"/>
        </w:rPr>
      </w:pPr>
    </w:p>
    <w:p w:rsidR="00C71073" w:rsidRDefault="00C71073" w:rsidP="00CD3FE4">
      <w:pPr>
        <w:autoSpaceDE w:val="0"/>
        <w:autoSpaceDN w:val="0"/>
        <w:adjustRightInd w:val="0"/>
        <w:spacing w:after="0" w:line="240" w:lineRule="auto"/>
        <w:jc w:val="both"/>
        <w:rPr>
          <w:rFonts w:cs="ACaslonPro-Regular"/>
          <w:color w:val="000000"/>
        </w:rPr>
      </w:pPr>
    </w:p>
    <w:p w:rsidR="00D151D4" w:rsidRDefault="00D151D4" w:rsidP="00AD1A5C">
      <w:pPr>
        <w:autoSpaceDE w:val="0"/>
        <w:autoSpaceDN w:val="0"/>
        <w:adjustRightInd w:val="0"/>
        <w:spacing w:after="0" w:line="240" w:lineRule="auto"/>
        <w:rPr>
          <w:rFonts w:cs="ACaslonPro-Regular"/>
          <w:color w:val="000000"/>
        </w:rPr>
      </w:pPr>
    </w:p>
    <w:tbl>
      <w:tblPr>
        <w:tblStyle w:val="Grilledutableau"/>
        <w:tblW w:w="0" w:type="auto"/>
        <w:tblLook w:val="04A0"/>
      </w:tblPr>
      <w:tblGrid>
        <w:gridCol w:w="4077"/>
        <w:gridCol w:w="3969"/>
        <w:gridCol w:w="1242"/>
      </w:tblGrid>
      <w:tr w:rsidR="00B32450" w:rsidTr="00604D3A">
        <w:trPr>
          <w:trHeight w:val="419"/>
        </w:trPr>
        <w:tc>
          <w:tcPr>
            <w:tcW w:w="9288" w:type="dxa"/>
            <w:gridSpan w:val="3"/>
            <w:shd w:val="clear" w:color="auto" w:fill="BFBFBF" w:themeFill="background1" w:themeFillShade="BF"/>
          </w:tcPr>
          <w:p w:rsidR="00B32450" w:rsidRDefault="00687ED2" w:rsidP="00B32450">
            <w:pPr>
              <w:autoSpaceDE w:val="0"/>
              <w:autoSpaceDN w:val="0"/>
              <w:adjustRightInd w:val="0"/>
              <w:rPr>
                <w:rFonts w:cs="ACaslonPro-Regular"/>
                <w:color w:val="000000"/>
              </w:rPr>
            </w:pPr>
            <w:r>
              <w:rPr>
                <w:rFonts w:cs="ACaslonPro-Regular"/>
                <w:color w:val="000000"/>
              </w:rPr>
              <w:t>Résultat 3</w:t>
            </w:r>
            <w:r w:rsidR="00B32450">
              <w:rPr>
                <w:rFonts w:cs="ACaslonPro-Regular"/>
                <w:color w:val="000000"/>
              </w:rPr>
              <w:t xml:space="preserve"> : </w:t>
            </w:r>
            <w:r w:rsidR="00B32450" w:rsidRPr="00054F26">
              <w:rPr>
                <w:rFonts w:cs="ACaslonPro-Regular"/>
                <w:color w:val="000000"/>
              </w:rPr>
              <w:t>Un système de gestion adaptive du proj</w:t>
            </w:r>
            <w:r w:rsidR="00B32450">
              <w:rPr>
                <w:rFonts w:cs="ACaslonPro-Regular"/>
                <w:color w:val="000000"/>
              </w:rPr>
              <w:t>et des leçons tirées est établi</w:t>
            </w:r>
          </w:p>
        </w:tc>
      </w:tr>
      <w:tr w:rsidR="00B32450" w:rsidTr="00604D3A">
        <w:tc>
          <w:tcPr>
            <w:tcW w:w="4077" w:type="dxa"/>
            <w:shd w:val="clear" w:color="auto" w:fill="BFBFBF" w:themeFill="background1" w:themeFillShade="BF"/>
          </w:tcPr>
          <w:p w:rsidR="00B32450" w:rsidRDefault="00B32450" w:rsidP="00B6658A">
            <w:pPr>
              <w:autoSpaceDE w:val="0"/>
              <w:autoSpaceDN w:val="0"/>
              <w:adjustRightInd w:val="0"/>
              <w:rPr>
                <w:rFonts w:cs="ACaslonPro-Regular"/>
                <w:color w:val="000000"/>
              </w:rPr>
            </w:pPr>
            <w:r>
              <w:rPr>
                <w:rFonts w:cs="ACaslonPro-Regular"/>
                <w:color w:val="000000"/>
              </w:rPr>
              <w:t>Indicateurs</w:t>
            </w:r>
          </w:p>
        </w:tc>
        <w:tc>
          <w:tcPr>
            <w:tcW w:w="3969" w:type="dxa"/>
            <w:shd w:val="clear" w:color="auto" w:fill="BFBFBF" w:themeFill="background1" w:themeFillShade="BF"/>
          </w:tcPr>
          <w:p w:rsidR="00B32450" w:rsidRDefault="00B32450" w:rsidP="00B6658A">
            <w:pPr>
              <w:autoSpaceDE w:val="0"/>
              <w:autoSpaceDN w:val="0"/>
              <w:adjustRightInd w:val="0"/>
              <w:rPr>
                <w:rFonts w:cs="ACaslonPro-Regular"/>
                <w:color w:val="000000"/>
              </w:rPr>
            </w:pPr>
            <w:r>
              <w:rPr>
                <w:rFonts w:cs="ACaslonPro-Regular"/>
                <w:color w:val="000000"/>
              </w:rPr>
              <w:t xml:space="preserve">Cibles </w:t>
            </w:r>
          </w:p>
        </w:tc>
        <w:tc>
          <w:tcPr>
            <w:tcW w:w="1242" w:type="dxa"/>
            <w:shd w:val="clear" w:color="auto" w:fill="BFBFBF" w:themeFill="background1" w:themeFillShade="BF"/>
          </w:tcPr>
          <w:p w:rsidR="00B32450" w:rsidRDefault="00B32450" w:rsidP="00B6658A">
            <w:pPr>
              <w:autoSpaceDE w:val="0"/>
              <w:autoSpaceDN w:val="0"/>
              <w:adjustRightInd w:val="0"/>
              <w:rPr>
                <w:rFonts w:cs="ACaslonPro-Regular"/>
                <w:color w:val="000000"/>
              </w:rPr>
            </w:pPr>
            <w:r>
              <w:rPr>
                <w:rFonts w:cs="ACaslonPro-Regular"/>
                <w:color w:val="000000"/>
              </w:rPr>
              <w:t>Réalisation</w:t>
            </w:r>
          </w:p>
        </w:tc>
      </w:tr>
      <w:tr w:rsidR="00B32450" w:rsidTr="00B32450">
        <w:tc>
          <w:tcPr>
            <w:tcW w:w="4077" w:type="dxa"/>
          </w:tcPr>
          <w:p w:rsidR="00B32450" w:rsidRDefault="005D4497" w:rsidP="00B6658A">
            <w:pPr>
              <w:autoSpaceDE w:val="0"/>
              <w:autoSpaceDN w:val="0"/>
              <w:adjustRightInd w:val="0"/>
              <w:rPr>
                <w:rFonts w:cs="ACaslonPro-Regular"/>
                <w:color w:val="000000"/>
              </w:rPr>
            </w:pPr>
            <w:r>
              <w:rPr>
                <w:rFonts w:cs="ACaslonPro-Regular"/>
                <w:color w:val="000000"/>
              </w:rPr>
              <w:t>1.</w:t>
            </w:r>
            <w:r w:rsidRPr="00054F26">
              <w:rPr>
                <w:rFonts w:cs="ACaslonPro-Regular"/>
                <w:color w:val="000000"/>
              </w:rPr>
              <w:t xml:space="preserve"> Equipe</w:t>
            </w:r>
            <w:r w:rsidR="00B32450" w:rsidRPr="00054F26">
              <w:rPr>
                <w:rFonts w:cs="ACaslonPro-Regular"/>
                <w:color w:val="000000"/>
              </w:rPr>
              <w:t xml:space="preserve"> du projet mise en place</w:t>
            </w:r>
          </w:p>
        </w:tc>
        <w:tc>
          <w:tcPr>
            <w:tcW w:w="3969" w:type="dxa"/>
          </w:tcPr>
          <w:p w:rsidR="00B32450" w:rsidRDefault="00B32450" w:rsidP="00B6658A">
            <w:pPr>
              <w:autoSpaceDE w:val="0"/>
              <w:autoSpaceDN w:val="0"/>
              <w:adjustRightInd w:val="0"/>
              <w:rPr>
                <w:rFonts w:cs="ACaslonPro-Regular"/>
                <w:color w:val="000000"/>
              </w:rPr>
            </w:pPr>
            <w:r w:rsidRPr="00054F26">
              <w:rPr>
                <w:rFonts w:cs="ACaslonPro-Regular"/>
                <w:color w:val="000000"/>
              </w:rPr>
              <w:t>Unité de gestion mise en place et opérationnelle</w:t>
            </w:r>
          </w:p>
        </w:tc>
        <w:tc>
          <w:tcPr>
            <w:tcW w:w="1242" w:type="dxa"/>
          </w:tcPr>
          <w:p w:rsidR="00B32450" w:rsidRDefault="00B32450" w:rsidP="00B6658A">
            <w:pPr>
              <w:autoSpaceDE w:val="0"/>
              <w:autoSpaceDN w:val="0"/>
              <w:adjustRightInd w:val="0"/>
              <w:rPr>
                <w:rFonts w:cs="ACaslonPro-Regular"/>
                <w:color w:val="000000"/>
              </w:rPr>
            </w:pPr>
            <w:r>
              <w:rPr>
                <w:rFonts w:cs="ACaslonPro-Regular"/>
                <w:color w:val="000000"/>
              </w:rPr>
              <w:t>100%</w:t>
            </w:r>
          </w:p>
        </w:tc>
      </w:tr>
      <w:tr w:rsidR="00B32450" w:rsidTr="00B32450">
        <w:tc>
          <w:tcPr>
            <w:tcW w:w="4077" w:type="dxa"/>
          </w:tcPr>
          <w:p w:rsidR="00B32450" w:rsidRDefault="005D4497" w:rsidP="00B6658A">
            <w:pPr>
              <w:autoSpaceDE w:val="0"/>
              <w:autoSpaceDN w:val="0"/>
              <w:adjustRightInd w:val="0"/>
              <w:rPr>
                <w:rFonts w:cs="ACaslonPro-Regular"/>
                <w:color w:val="000000"/>
              </w:rPr>
            </w:pPr>
            <w:r>
              <w:rPr>
                <w:rFonts w:cs="ACaslonPro-Regular"/>
                <w:color w:val="000000"/>
              </w:rPr>
              <w:t>2.</w:t>
            </w:r>
            <w:r w:rsidRPr="00054F26">
              <w:rPr>
                <w:rFonts w:cs="ACaslonPro-Regular"/>
                <w:color w:val="000000"/>
              </w:rPr>
              <w:t xml:space="preserve"> Système</w:t>
            </w:r>
            <w:r w:rsidR="00B32450" w:rsidRPr="00054F26">
              <w:rPr>
                <w:rFonts w:cs="ACaslonPro-Regular"/>
                <w:color w:val="000000"/>
              </w:rPr>
              <w:t xml:space="preserve"> d’assurance qualité opérationnel</w:t>
            </w:r>
          </w:p>
        </w:tc>
        <w:tc>
          <w:tcPr>
            <w:tcW w:w="3969" w:type="dxa"/>
          </w:tcPr>
          <w:p w:rsidR="00B32450" w:rsidRDefault="00B32450" w:rsidP="00B6658A">
            <w:pPr>
              <w:autoSpaceDE w:val="0"/>
              <w:autoSpaceDN w:val="0"/>
              <w:adjustRightInd w:val="0"/>
              <w:rPr>
                <w:rFonts w:cs="ACaslonPro-Regular"/>
                <w:color w:val="000000"/>
              </w:rPr>
            </w:pPr>
            <w:r w:rsidRPr="00054F26">
              <w:rPr>
                <w:rFonts w:cs="ACaslonPro-Regular"/>
                <w:color w:val="000000"/>
              </w:rPr>
              <w:t>Le plan de suivi-évaluation et d’assurance qualité actualisé et mis en œuvre</w:t>
            </w:r>
          </w:p>
        </w:tc>
        <w:tc>
          <w:tcPr>
            <w:tcW w:w="1242" w:type="dxa"/>
          </w:tcPr>
          <w:p w:rsidR="00B32450" w:rsidRDefault="00B32450" w:rsidP="00B6658A">
            <w:pPr>
              <w:autoSpaceDE w:val="0"/>
              <w:autoSpaceDN w:val="0"/>
              <w:adjustRightInd w:val="0"/>
              <w:rPr>
                <w:rFonts w:cs="ACaslonPro-Regular"/>
                <w:color w:val="000000"/>
              </w:rPr>
            </w:pPr>
            <w:r>
              <w:rPr>
                <w:rFonts w:cs="ACaslonPro-Regular"/>
                <w:color w:val="000000"/>
              </w:rPr>
              <w:t>100%</w:t>
            </w:r>
          </w:p>
        </w:tc>
      </w:tr>
      <w:tr w:rsidR="00B32450" w:rsidTr="00B32450">
        <w:tc>
          <w:tcPr>
            <w:tcW w:w="4077" w:type="dxa"/>
          </w:tcPr>
          <w:p w:rsidR="00B32450" w:rsidRDefault="005D4497" w:rsidP="00B6658A">
            <w:pPr>
              <w:autoSpaceDE w:val="0"/>
              <w:autoSpaceDN w:val="0"/>
              <w:adjustRightInd w:val="0"/>
              <w:rPr>
                <w:rFonts w:cs="ACaslonPro-Regular"/>
                <w:color w:val="000000"/>
              </w:rPr>
            </w:pPr>
            <w:r>
              <w:rPr>
                <w:rFonts w:cs="ACaslonPro-Regular"/>
                <w:color w:val="000000"/>
              </w:rPr>
              <w:t>3.</w:t>
            </w:r>
            <w:r w:rsidRPr="00054F26">
              <w:rPr>
                <w:rFonts w:cs="ACaslonPro-Regular"/>
                <w:color w:val="000000"/>
              </w:rPr>
              <w:t xml:space="preserve"> Des</w:t>
            </w:r>
            <w:r w:rsidR="00B32450" w:rsidRPr="00054F26">
              <w:rPr>
                <w:rFonts w:cs="ACaslonPro-Regular"/>
                <w:color w:val="000000"/>
              </w:rPr>
              <w:t xml:space="preserve"> mécanismes de gestion des connaissances, de partage de l’information et de dissémination des capacités requises pour la reproductibilité des résultats du projet sont mis en place.</w:t>
            </w:r>
          </w:p>
        </w:tc>
        <w:tc>
          <w:tcPr>
            <w:tcW w:w="3969" w:type="dxa"/>
          </w:tcPr>
          <w:p w:rsidR="00B32450" w:rsidRDefault="00B32450" w:rsidP="00B6658A">
            <w:pPr>
              <w:autoSpaceDE w:val="0"/>
              <w:autoSpaceDN w:val="0"/>
              <w:adjustRightInd w:val="0"/>
              <w:rPr>
                <w:rFonts w:cs="ACaslonPro-Regular"/>
                <w:color w:val="000000"/>
              </w:rPr>
            </w:pPr>
            <w:r w:rsidRPr="00054F26">
              <w:rPr>
                <w:rFonts w:cs="ACaslonPro-Regular"/>
                <w:color w:val="000000"/>
              </w:rPr>
              <w:t>Les acquis de connaissance du projet (leçons et bonnes pratiques) sont consolidés et diffusés.</w:t>
            </w:r>
          </w:p>
        </w:tc>
        <w:tc>
          <w:tcPr>
            <w:tcW w:w="1242" w:type="dxa"/>
          </w:tcPr>
          <w:p w:rsidR="00B32450" w:rsidRDefault="00B32450" w:rsidP="00B6658A">
            <w:pPr>
              <w:autoSpaceDE w:val="0"/>
              <w:autoSpaceDN w:val="0"/>
              <w:adjustRightInd w:val="0"/>
              <w:rPr>
                <w:rFonts w:cs="ACaslonPro-Regular"/>
                <w:color w:val="000000"/>
              </w:rPr>
            </w:pPr>
            <w:r>
              <w:rPr>
                <w:rFonts w:cs="ACaslonPro-Regular"/>
                <w:color w:val="000000"/>
              </w:rPr>
              <w:t>100%</w:t>
            </w:r>
          </w:p>
        </w:tc>
      </w:tr>
    </w:tbl>
    <w:p w:rsidR="00DE6479" w:rsidRDefault="00DE6479" w:rsidP="00AD1A5C">
      <w:pPr>
        <w:autoSpaceDE w:val="0"/>
        <w:autoSpaceDN w:val="0"/>
        <w:adjustRightInd w:val="0"/>
        <w:spacing w:after="0" w:line="240" w:lineRule="auto"/>
        <w:rPr>
          <w:rFonts w:cs="ACaslonPro-Regular"/>
          <w:color w:val="000000"/>
        </w:rPr>
      </w:pPr>
    </w:p>
    <w:p w:rsidR="00E257F4" w:rsidRDefault="00E257F4" w:rsidP="00AD1A5C">
      <w:pPr>
        <w:autoSpaceDE w:val="0"/>
        <w:autoSpaceDN w:val="0"/>
        <w:adjustRightInd w:val="0"/>
        <w:spacing w:after="0" w:line="240" w:lineRule="auto"/>
        <w:rPr>
          <w:rFonts w:cs="ACaslonPro-Regular"/>
          <w:color w:val="000000"/>
        </w:rPr>
      </w:pPr>
    </w:p>
    <w:p w:rsidR="00E257F4" w:rsidRDefault="00E257F4" w:rsidP="00AD1A5C">
      <w:pPr>
        <w:autoSpaceDE w:val="0"/>
        <w:autoSpaceDN w:val="0"/>
        <w:adjustRightInd w:val="0"/>
        <w:spacing w:after="0" w:line="240" w:lineRule="auto"/>
        <w:rPr>
          <w:rFonts w:cs="ACaslonPro-Regular"/>
          <w:color w:val="000000"/>
        </w:rPr>
      </w:pPr>
    </w:p>
    <w:p w:rsidR="00E257F4" w:rsidRDefault="00E257F4" w:rsidP="00AD1A5C">
      <w:pPr>
        <w:autoSpaceDE w:val="0"/>
        <w:autoSpaceDN w:val="0"/>
        <w:adjustRightInd w:val="0"/>
        <w:spacing w:after="0" w:line="240" w:lineRule="auto"/>
        <w:rPr>
          <w:rFonts w:cs="ACaslonPro-Regular"/>
          <w:color w:val="000000"/>
        </w:rPr>
      </w:pPr>
    </w:p>
    <w:p w:rsidR="00687ED2" w:rsidRDefault="00687ED2" w:rsidP="00AD1A5C">
      <w:pPr>
        <w:autoSpaceDE w:val="0"/>
        <w:autoSpaceDN w:val="0"/>
        <w:adjustRightInd w:val="0"/>
        <w:spacing w:after="0" w:line="240" w:lineRule="auto"/>
        <w:rPr>
          <w:rFonts w:cs="ACaslonPro-Regular"/>
          <w:color w:val="000000"/>
        </w:rPr>
      </w:pPr>
      <w:r>
        <w:rPr>
          <w:rFonts w:cs="ACaslonPro-Regular"/>
          <w:color w:val="000000"/>
        </w:rPr>
        <w:t>Notations :</w:t>
      </w:r>
    </w:p>
    <w:tbl>
      <w:tblPr>
        <w:tblStyle w:val="Grilledutableau"/>
        <w:tblW w:w="0" w:type="auto"/>
        <w:tblLook w:val="04A0"/>
      </w:tblPr>
      <w:tblGrid>
        <w:gridCol w:w="7479"/>
        <w:gridCol w:w="1733"/>
      </w:tblGrid>
      <w:tr w:rsidR="00687ED2" w:rsidRPr="00C71073" w:rsidTr="00B6658A">
        <w:tc>
          <w:tcPr>
            <w:tcW w:w="7479" w:type="dxa"/>
            <w:shd w:val="clear" w:color="auto" w:fill="BFBFBF" w:themeFill="background1" w:themeFillShade="BF"/>
          </w:tcPr>
          <w:p w:rsidR="00687ED2" w:rsidRPr="00C71073" w:rsidRDefault="00687ED2" w:rsidP="00B6658A">
            <w:pPr>
              <w:autoSpaceDE w:val="0"/>
              <w:autoSpaceDN w:val="0"/>
              <w:adjustRightInd w:val="0"/>
              <w:jc w:val="center"/>
              <w:rPr>
                <w:rFonts w:cs="ACaslonPro-Regular"/>
                <w:b/>
                <w:color w:val="000000"/>
              </w:rPr>
            </w:pPr>
            <w:r w:rsidRPr="00C71073">
              <w:rPr>
                <w:rFonts w:cs="ACaslonPro-Regular"/>
                <w:b/>
                <w:color w:val="000000"/>
              </w:rPr>
              <w:t>Indicateurs</w:t>
            </w:r>
          </w:p>
        </w:tc>
        <w:tc>
          <w:tcPr>
            <w:tcW w:w="1733" w:type="dxa"/>
            <w:shd w:val="clear" w:color="auto" w:fill="BFBFBF" w:themeFill="background1" w:themeFillShade="BF"/>
          </w:tcPr>
          <w:p w:rsidR="00687ED2" w:rsidRPr="00687ED2" w:rsidRDefault="00687ED2" w:rsidP="00687ED2">
            <w:pPr>
              <w:autoSpaceDE w:val="0"/>
              <w:autoSpaceDN w:val="0"/>
              <w:adjustRightInd w:val="0"/>
              <w:jc w:val="center"/>
              <w:rPr>
                <w:rFonts w:cs="ACaslonPro-Regular"/>
                <w:b/>
                <w:color w:val="000000"/>
              </w:rPr>
            </w:pPr>
            <w:r w:rsidRPr="00687ED2">
              <w:rPr>
                <w:rFonts w:cs="ACaslonPro-Regular"/>
                <w:b/>
                <w:color w:val="000000"/>
              </w:rPr>
              <w:t>Notation</w:t>
            </w:r>
          </w:p>
        </w:tc>
      </w:tr>
      <w:tr w:rsidR="00687ED2" w:rsidTr="00B6658A">
        <w:tc>
          <w:tcPr>
            <w:tcW w:w="7479" w:type="dxa"/>
          </w:tcPr>
          <w:p w:rsidR="00687ED2" w:rsidRPr="00D83125" w:rsidRDefault="00B400DD" w:rsidP="00B6658A">
            <w:r w:rsidRPr="00D83125">
              <w:t>1. Equipe</w:t>
            </w:r>
            <w:r w:rsidR="00687ED2" w:rsidRPr="00D83125">
              <w:t xml:space="preserve"> du projet mise en place</w:t>
            </w:r>
          </w:p>
        </w:tc>
        <w:tc>
          <w:tcPr>
            <w:tcW w:w="1733" w:type="dxa"/>
          </w:tcPr>
          <w:p w:rsidR="00687ED2" w:rsidRPr="00687ED2" w:rsidRDefault="00687ED2" w:rsidP="00687ED2">
            <w:pPr>
              <w:autoSpaceDE w:val="0"/>
              <w:autoSpaceDN w:val="0"/>
              <w:adjustRightInd w:val="0"/>
              <w:jc w:val="center"/>
              <w:rPr>
                <w:rFonts w:cs="ACaslonPro-Regular"/>
                <w:b/>
                <w:color w:val="000000"/>
              </w:rPr>
            </w:pPr>
            <w:r w:rsidRPr="00687ED2">
              <w:rPr>
                <w:rFonts w:cs="ACaslonPro-Regular"/>
                <w:b/>
                <w:color w:val="000000"/>
              </w:rPr>
              <w:t>HS</w:t>
            </w:r>
          </w:p>
        </w:tc>
      </w:tr>
      <w:tr w:rsidR="00687ED2" w:rsidTr="00B6658A">
        <w:tc>
          <w:tcPr>
            <w:tcW w:w="7479" w:type="dxa"/>
          </w:tcPr>
          <w:p w:rsidR="00687ED2" w:rsidRPr="00D83125" w:rsidRDefault="00B400DD" w:rsidP="00B6658A">
            <w:r w:rsidRPr="00D83125">
              <w:lastRenderedPageBreak/>
              <w:t>2. Système</w:t>
            </w:r>
            <w:r w:rsidR="00687ED2" w:rsidRPr="00D83125">
              <w:t xml:space="preserve"> d’assurance qualité opérationnel</w:t>
            </w:r>
          </w:p>
        </w:tc>
        <w:tc>
          <w:tcPr>
            <w:tcW w:w="1733" w:type="dxa"/>
          </w:tcPr>
          <w:p w:rsidR="00687ED2" w:rsidRPr="00687ED2" w:rsidRDefault="00687ED2" w:rsidP="00687ED2">
            <w:pPr>
              <w:autoSpaceDE w:val="0"/>
              <w:autoSpaceDN w:val="0"/>
              <w:adjustRightInd w:val="0"/>
              <w:jc w:val="center"/>
              <w:rPr>
                <w:rFonts w:cs="ACaslonPro-Regular"/>
                <w:b/>
                <w:color w:val="000000"/>
              </w:rPr>
            </w:pPr>
            <w:r w:rsidRPr="00687ED2">
              <w:rPr>
                <w:rFonts w:cs="ACaslonPro-Regular"/>
                <w:b/>
                <w:color w:val="000000"/>
              </w:rPr>
              <w:t>HS</w:t>
            </w:r>
          </w:p>
        </w:tc>
      </w:tr>
      <w:tr w:rsidR="00687ED2" w:rsidTr="00B6658A">
        <w:tc>
          <w:tcPr>
            <w:tcW w:w="7479" w:type="dxa"/>
          </w:tcPr>
          <w:p w:rsidR="00687ED2" w:rsidRDefault="00B400DD" w:rsidP="00B6658A">
            <w:r w:rsidRPr="00D83125">
              <w:t>3. Des</w:t>
            </w:r>
            <w:r w:rsidR="00687ED2" w:rsidRPr="00D83125">
              <w:t xml:space="preserve"> mécanismes de gestion des connaissances, de partage de l’information et de dissémination des capacités requises pour la reproductibilité des résultats du projet sont mis en place.</w:t>
            </w:r>
          </w:p>
        </w:tc>
        <w:tc>
          <w:tcPr>
            <w:tcW w:w="1733" w:type="dxa"/>
          </w:tcPr>
          <w:p w:rsidR="00687ED2" w:rsidRPr="00687ED2" w:rsidRDefault="00687ED2" w:rsidP="00687ED2">
            <w:pPr>
              <w:autoSpaceDE w:val="0"/>
              <w:autoSpaceDN w:val="0"/>
              <w:adjustRightInd w:val="0"/>
              <w:jc w:val="center"/>
              <w:rPr>
                <w:rFonts w:cs="ACaslonPro-Regular"/>
                <w:b/>
                <w:color w:val="000000"/>
              </w:rPr>
            </w:pPr>
            <w:r w:rsidRPr="00687ED2">
              <w:rPr>
                <w:rFonts w:cs="ACaslonPro-Regular"/>
                <w:b/>
                <w:color w:val="000000"/>
              </w:rPr>
              <w:t>HS</w:t>
            </w:r>
          </w:p>
        </w:tc>
      </w:tr>
    </w:tbl>
    <w:p w:rsidR="00DE6479" w:rsidRDefault="00DE6479" w:rsidP="00AD1A5C">
      <w:pPr>
        <w:autoSpaceDE w:val="0"/>
        <w:autoSpaceDN w:val="0"/>
        <w:adjustRightInd w:val="0"/>
        <w:spacing w:after="0" w:line="240" w:lineRule="auto"/>
        <w:rPr>
          <w:rFonts w:cs="ACaslonPro-Regular"/>
          <w:color w:val="000000"/>
        </w:rPr>
      </w:pPr>
    </w:p>
    <w:p w:rsidR="00687ED2" w:rsidRDefault="00687ED2" w:rsidP="00AD1A5C">
      <w:pPr>
        <w:autoSpaceDE w:val="0"/>
        <w:autoSpaceDN w:val="0"/>
        <w:adjustRightInd w:val="0"/>
        <w:spacing w:after="0" w:line="240" w:lineRule="auto"/>
        <w:rPr>
          <w:rFonts w:cs="ACaslonPro-Regular"/>
          <w:color w:val="000000"/>
        </w:rPr>
      </w:pPr>
      <w:r>
        <w:rPr>
          <w:rFonts w:cs="ACaslonPro-Regular"/>
          <w:color w:val="000000"/>
        </w:rPr>
        <w:t>Notation efficacité des résultats :</w:t>
      </w:r>
    </w:p>
    <w:tbl>
      <w:tblPr>
        <w:tblStyle w:val="Grilledutableau"/>
        <w:tblW w:w="0" w:type="auto"/>
        <w:tblLook w:val="04A0"/>
      </w:tblPr>
      <w:tblGrid>
        <w:gridCol w:w="7479"/>
        <w:gridCol w:w="1701"/>
      </w:tblGrid>
      <w:tr w:rsidR="00687ED2" w:rsidRPr="00687ED2" w:rsidTr="00604D3A">
        <w:tc>
          <w:tcPr>
            <w:tcW w:w="7479" w:type="dxa"/>
            <w:shd w:val="clear" w:color="auto" w:fill="BFBFBF" w:themeFill="background1" w:themeFillShade="BF"/>
          </w:tcPr>
          <w:p w:rsidR="00687ED2" w:rsidRPr="00687ED2" w:rsidRDefault="00687ED2" w:rsidP="00687ED2">
            <w:pPr>
              <w:autoSpaceDE w:val="0"/>
              <w:autoSpaceDN w:val="0"/>
              <w:adjustRightInd w:val="0"/>
              <w:jc w:val="center"/>
              <w:rPr>
                <w:rFonts w:cs="ACaslonPro-Regular"/>
                <w:b/>
                <w:color w:val="000000"/>
              </w:rPr>
            </w:pPr>
            <w:r w:rsidRPr="00687ED2">
              <w:rPr>
                <w:rFonts w:cs="ACaslonPro-Regular"/>
                <w:b/>
                <w:color w:val="000000"/>
              </w:rPr>
              <w:t>Résultats</w:t>
            </w:r>
          </w:p>
        </w:tc>
        <w:tc>
          <w:tcPr>
            <w:tcW w:w="1701" w:type="dxa"/>
            <w:shd w:val="clear" w:color="auto" w:fill="BFBFBF" w:themeFill="background1" w:themeFillShade="BF"/>
          </w:tcPr>
          <w:p w:rsidR="00687ED2" w:rsidRPr="00687ED2" w:rsidRDefault="00687ED2" w:rsidP="00687ED2">
            <w:pPr>
              <w:autoSpaceDE w:val="0"/>
              <w:autoSpaceDN w:val="0"/>
              <w:adjustRightInd w:val="0"/>
              <w:jc w:val="center"/>
              <w:rPr>
                <w:rFonts w:cs="ACaslonPro-Regular"/>
                <w:b/>
                <w:color w:val="000000"/>
              </w:rPr>
            </w:pPr>
            <w:r w:rsidRPr="00687ED2">
              <w:rPr>
                <w:rFonts w:cs="ACaslonPro-Regular"/>
                <w:b/>
                <w:color w:val="000000"/>
              </w:rPr>
              <w:t>Notation</w:t>
            </w:r>
          </w:p>
        </w:tc>
      </w:tr>
      <w:tr w:rsidR="00687ED2" w:rsidTr="00687ED2">
        <w:tc>
          <w:tcPr>
            <w:tcW w:w="7479" w:type="dxa"/>
          </w:tcPr>
          <w:p w:rsidR="00687ED2" w:rsidRDefault="00687ED2" w:rsidP="00B6658A">
            <w:pPr>
              <w:autoSpaceDE w:val="0"/>
              <w:autoSpaceDN w:val="0"/>
              <w:adjustRightInd w:val="0"/>
              <w:rPr>
                <w:rFonts w:cs="ACaslonPro-Regular"/>
                <w:color w:val="000000"/>
              </w:rPr>
            </w:pPr>
            <w:r w:rsidRPr="00687ED2">
              <w:rPr>
                <w:rFonts w:cs="ACaslonPro-Regular"/>
                <w:color w:val="000000"/>
              </w:rPr>
              <w:t>Résultat 1 : Le cadre institutionnel pour l’intégration de la gestion de l’environnement mondial dans les programmes de l’INDH et dans la planification et le suivi des PCDs est développé.</w:t>
            </w:r>
          </w:p>
        </w:tc>
        <w:tc>
          <w:tcPr>
            <w:tcW w:w="1701" w:type="dxa"/>
          </w:tcPr>
          <w:p w:rsidR="00687ED2" w:rsidRPr="00687ED2" w:rsidRDefault="00687ED2" w:rsidP="00687ED2">
            <w:pPr>
              <w:autoSpaceDE w:val="0"/>
              <w:autoSpaceDN w:val="0"/>
              <w:adjustRightInd w:val="0"/>
              <w:jc w:val="center"/>
              <w:rPr>
                <w:rFonts w:cs="ACaslonPro-Regular"/>
                <w:b/>
                <w:color w:val="000000"/>
              </w:rPr>
            </w:pPr>
            <w:r w:rsidRPr="00687ED2">
              <w:rPr>
                <w:rFonts w:cs="ACaslonPro-Regular"/>
                <w:b/>
                <w:color w:val="000000"/>
              </w:rPr>
              <w:t>S</w:t>
            </w:r>
          </w:p>
        </w:tc>
      </w:tr>
      <w:tr w:rsidR="00687ED2" w:rsidTr="00687ED2">
        <w:tc>
          <w:tcPr>
            <w:tcW w:w="7479" w:type="dxa"/>
          </w:tcPr>
          <w:p w:rsidR="00687ED2" w:rsidRDefault="00687ED2" w:rsidP="00687ED2">
            <w:pPr>
              <w:autoSpaceDE w:val="0"/>
              <w:autoSpaceDN w:val="0"/>
              <w:adjustRightInd w:val="0"/>
              <w:rPr>
                <w:rFonts w:cs="ACaslonPro-Regular"/>
                <w:color w:val="000000"/>
              </w:rPr>
            </w:pPr>
            <w:r w:rsidRPr="00687ED2">
              <w:rPr>
                <w:rFonts w:cs="ACaslonPro-Regular"/>
                <w:color w:val="000000"/>
              </w:rPr>
              <w:t>Résultat 2 : Les capacités pour l’intégration systématique des cibles environnementales mondiales dans la plani</w:t>
            </w:r>
            <w:r>
              <w:rPr>
                <w:rFonts w:cs="ACaslonPro-Regular"/>
                <w:color w:val="000000"/>
              </w:rPr>
              <w:t>fication locale sont renforcées</w:t>
            </w:r>
          </w:p>
        </w:tc>
        <w:tc>
          <w:tcPr>
            <w:tcW w:w="1701" w:type="dxa"/>
          </w:tcPr>
          <w:p w:rsidR="00687ED2" w:rsidRPr="00687ED2" w:rsidRDefault="00687ED2" w:rsidP="00687ED2">
            <w:pPr>
              <w:autoSpaceDE w:val="0"/>
              <w:autoSpaceDN w:val="0"/>
              <w:adjustRightInd w:val="0"/>
              <w:jc w:val="center"/>
              <w:rPr>
                <w:rFonts w:cs="ACaslonPro-Regular"/>
                <w:b/>
                <w:color w:val="000000"/>
              </w:rPr>
            </w:pPr>
            <w:r w:rsidRPr="00687ED2">
              <w:rPr>
                <w:rFonts w:cs="ACaslonPro-Regular"/>
                <w:b/>
                <w:color w:val="000000"/>
              </w:rPr>
              <w:t>S</w:t>
            </w:r>
          </w:p>
        </w:tc>
      </w:tr>
      <w:tr w:rsidR="00687ED2" w:rsidTr="00687ED2">
        <w:tc>
          <w:tcPr>
            <w:tcW w:w="7479" w:type="dxa"/>
          </w:tcPr>
          <w:p w:rsidR="00687ED2" w:rsidRDefault="00687ED2" w:rsidP="00B6658A">
            <w:pPr>
              <w:autoSpaceDE w:val="0"/>
              <w:autoSpaceDN w:val="0"/>
              <w:adjustRightInd w:val="0"/>
              <w:rPr>
                <w:rFonts w:cs="ACaslonPro-Regular"/>
                <w:color w:val="000000"/>
              </w:rPr>
            </w:pPr>
            <w:r w:rsidRPr="00687ED2">
              <w:rPr>
                <w:rFonts w:cs="ACaslonPro-Regular"/>
                <w:color w:val="000000"/>
              </w:rPr>
              <w:t>Résultat 3. : Un système de gestion adaptive du projet des leçons tirées est établi</w:t>
            </w:r>
          </w:p>
        </w:tc>
        <w:tc>
          <w:tcPr>
            <w:tcW w:w="1701" w:type="dxa"/>
          </w:tcPr>
          <w:p w:rsidR="00687ED2" w:rsidRPr="00687ED2" w:rsidRDefault="00687ED2" w:rsidP="00687ED2">
            <w:pPr>
              <w:autoSpaceDE w:val="0"/>
              <w:autoSpaceDN w:val="0"/>
              <w:adjustRightInd w:val="0"/>
              <w:jc w:val="center"/>
              <w:rPr>
                <w:rFonts w:cs="ACaslonPro-Regular"/>
                <w:b/>
                <w:color w:val="000000"/>
              </w:rPr>
            </w:pPr>
            <w:r w:rsidRPr="00687ED2">
              <w:rPr>
                <w:rFonts w:cs="ACaslonPro-Regular"/>
                <w:b/>
                <w:color w:val="000000"/>
              </w:rPr>
              <w:t>HS</w:t>
            </w:r>
          </w:p>
        </w:tc>
      </w:tr>
    </w:tbl>
    <w:p w:rsidR="00687ED2" w:rsidRPr="00AD1A5C" w:rsidRDefault="00687ED2" w:rsidP="00AD1A5C">
      <w:pPr>
        <w:autoSpaceDE w:val="0"/>
        <w:autoSpaceDN w:val="0"/>
        <w:adjustRightInd w:val="0"/>
        <w:spacing w:after="0" w:line="240" w:lineRule="auto"/>
        <w:rPr>
          <w:rFonts w:cs="ACaslonPro-Regular"/>
          <w:color w:val="000000"/>
        </w:rPr>
      </w:pPr>
    </w:p>
    <w:p w:rsidR="00AD1A5C" w:rsidRPr="00B4512F" w:rsidRDefault="00B4512F" w:rsidP="00B4512F">
      <w:pPr>
        <w:pStyle w:val="Titre3"/>
        <w:spacing w:before="0"/>
        <w:rPr>
          <w:rFonts w:asciiTheme="minorHAnsi" w:hAnsiTheme="minorHAnsi" w:cs="ACaslonPro-Regular"/>
          <w:color w:val="auto"/>
        </w:rPr>
      </w:pPr>
      <w:bookmarkStart w:id="55" w:name="_Toc425414590"/>
      <w:r w:rsidRPr="00B4512F">
        <w:rPr>
          <w:rFonts w:asciiTheme="minorHAnsi" w:hAnsiTheme="minorHAnsi" w:cs="Calibri"/>
          <w:color w:val="auto"/>
        </w:rPr>
        <w:t xml:space="preserve">III.3.2 </w:t>
      </w:r>
      <w:r w:rsidRPr="00B4512F">
        <w:rPr>
          <w:rFonts w:asciiTheme="minorHAnsi" w:hAnsiTheme="minorHAnsi" w:cs="ACaslonPro-Regular"/>
          <w:color w:val="auto"/>
        </w:rPr>
        <w:t>Pertinence</w:t>
      </w:r>
      <w:bookmarkEnd w:id="55"/>
    </w:p>
    <w:p w:rsidR="00B4512F" w:rsidRDefault="00132E91" w:rsidP="00132E91">
      <w:pPr>
        <w:autoSpaceDE w:val="0"/>
        <w:autoSpaceDN w:val="0"/>
        <w:adjustRightInd w:val="0"/>
        <w:spacing w:after="0" w:line="240" w:lineRule="auto"/>
        <w:jc w:val="both"/>
        <w:rPr>
          <w:rFonts w:cs="Garamond"/>
          <w:color w:val="000000"/>
        </w:rPr>
      </w:pPr>
      <w:r w:rsidRPr="00132E91">
        <w:rPr>
          <w:rFonts w:cs="Garamond"/>
          <w:color w:val="000000"/>
        </w:rPr>
        <w:t xml:space="preserve">Le Plan d’action </w:t>
      </w:r>
      <w:r w:rsidR="000C3214">
        <w:rPr>
          <w:rFonts w:cs="Garamond"/>
          <w:color w:val="000000"/>
        </w:rPr>
        <w:t>commun 2012-2016 (PAC)</w:t>
      </w:r>
      <w:r w:rsidRPr="00132E91">
        <w:rPr>
          <w:rFonts w:cs="Garamond"/>
          <w:color w:val="000000"/>
        </w:rPr>
        <w:t xml:space="preserve">et le Plan cadre des Nations Unies pour l’aide au développement </w:t>
      </w:r>
      <w:r w:rsidR="001C7FB0">
        <w:rPr>
          <w:rFonts w:cs="Garamond"/>
          <w:color w:val="000000"/>
        </w:rPr>
        <w:t xml:space="preserve">2012-2016 </w:t>
      </w:r>
      <w:r w:rsidRPr="00132E91">
        <w:rPr>
          <w:rFonts w:cs="Garamond"/>
          <w:i/>
          <w:iCs/>
          <w:color w:val="000000"/>
        </w:rPr>
        <w:t xml:space="preserve">(UNDAF) </w:t>
      </w:r>
      <w:r w:rsidRPr="00132E91">
        <w:rPr>
          <w:rFonts w:cs="Garamond"/>
          <w:color w:val="000000"/>
        </w:rPr>
        <w:t xml:space="preserve">apportent une réponse aux priorités et aux besoins nationaux du Maroc dans le cadre des objectifs de sa CNEDD et ses engagements face aux Objectifs du millénaire pour le développement (OMD) ainsi que les conventions internationales. Le projet </w:t>
      </w:r>
      <w:r>
        <w:rPr>
          <w:rFonts w:cs="Garamond"/>
          <w:color w:val="000000"/>
        </w:rPr>
        <w:t>CB2</w:t>
      </w:r>
      <w:r w:rsidRPr="00132E91">
        <w:rPr>
          <w:rFonts w:cs="Garamond"/>
          <w:color w:val="000000"/>
        </w:rPr>
        <w:t xml:space="preserve"> s’inscrit dans les priorités d’intervention et de coopération établies dans le CPAP et l’UNDAF selon les éléments de concordance données ci-après.</w:t>
      </w:r>
    </w:p>
    <w:p w:rsidR="00F95DB7" w:rsidRDefault="00F95DB7" w:rsidP="00132E91">
      <w:pPr>
        <w:autoSpaceDE w:val="0"/>
        <w:autoSpaceDN w:val="0"/>
        <w:adjustRightInd w:val="0"/>
        <w:spacing w:after="0" w:line="240" w:lineRule="auto"/>
        <w:jc w:val="both"/>
        <w:rPr>
          <w:rFonts w:cs="Garamond"/>
          <w:color w:val="000000"/>
        </w:rPr>
      </w:pPr>
    </w:p>
    <w:p w:rsidR="00F95DB7" w:rsidRPr="00F95DB7" w:rsidRDefault="00F95DB7" w:rsidP="00132E91">
      <w:pPr>
        <w:autoSpaceDE w:val="0"/>
        <w:autoSpaceDN w:val="0"/>
        <w:adjustRightInd w:val="0"/>
        <w:spacing w:after="0" w:line="240" w:lineRule="auto"/>
        <w:jc w:val="both"/>
        <w:rPr>
          <w:rFonts w:cs="Garamond"/>
          <w:b/>
          <w:color w:val="000000"/>
          <w:u w:val="single"/>
        </w:rPr>
      </w:pPr>
      <w:r w:rsidRPr="00F95DB7">
        <w:rPr>
          <w:rFonts w:cs="Garamond"/>
          <w:b/>
          <w:color w:val="000000"/>
          <w:u w:val="single"/>
        </w:rPr>
        <w:t xml:space="preserve">Pertinence du projet par rapport aux besoins du pays </w:t>
      </w:r>
    </w:p>
    <w:p w:rsidR="00132E91" w:rsidRPr="00132E91" w:rsidRDefault="00132E91" w:rsidP="00132E91">
      <w:pPr>
        <w:autoSpaceDE w:val="0"/>
        <w:autoSpaceDN w:val="0"/>
        <w:adjustRightInd w:val="0"/>
        <w:spacing w:after="0" w:line="240" w:lineRule="auto"/>
        <w:jc w:val="both"/>
        <w:rPr>
          <w:rFonts w:cs="ACaslonPro-Regula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085"/>
        <w:gridCol w:w="3085"/>
      </w:tblGrid>
      <w:tr w:rsidR="00132E91" w:rsidRPr="00132E91" w:rsidTr="00604D3A">
        <w:trPr>
          <w:trHeight w:val="236"/>
        </w:trPr>
        <w:tc>
          <w:tcPr>
            <w:tcW w:w="3085" w:type="dxa"/>
            <w:shd w:val="clear" w:color="auto" w:fill="BFBFBF" w:themeFill="background1" w:themeFillShade="BF"/>
          </w:tcPr>
          <w:p w:rsidR="00132E91" w:rsidRPr="00132E91" w:rsidRDefault="00132E91" w:rsidP="00132E91">
            <w:pPr>
              <w:autoSpaceDE w:val="0"/>
              <w:autoSpaceDN w:val="0"/>
              <w:adjustRightInd w:val="0"/>
              <w:spacing w:after="0" w:line="240" w:lineRule="auto"/>
              <w:rPr>
                <w:rFonts w:cs="Garamond"/>
                <w:b/>
                <w:color w:val="000000"/>
              </w:rPr>
            </w:pPr>
            <w:r w:rsidRPr="00132E91">
              <w:rPr>
                <w:rFonts w:cs="Garamond"/>
                <w:b/>
                <w:iCs/>
                <w:color w:val="000000"/>
              </w:rPr>
              <w:t xml:space="preserve">Résultats attendus </w:t>
            </w:r>
          </w:p>
        </w:tc>
        <w:tc>
          <w:tcPr>
            <w:tcW w:w="3085" w:type="dxa"/>
            <w:shd w:val="clear" w:color="auto" w:fill="BFBFBF" w:themeFill="background1" w:themeFillShade="BF"/>
          </w:tcPr>
          <w:p w:rsidR="00132E91" w:rsidRPr="00132E91" w:rsidRDefault="00132E91" w:rsidP="00132E91">
            <w:pPr>
              <w:autoSpaceDE w:val="0"/>
              <w:autoSpaceDN w:val="0"/>
              <w:adjustRightInd w:val="0"/>
              <w:spacing w:after="0" w:line="240" w:lineRule="auto"/>
              <w:rPr>
                <w:rFonts w:cs="Garamond"/>
                <w:b/>
                <w:color w:val="000000"/>
              </w:rPr>
            </w:pPr>
            <w:r w:rsidRPr="00132E91">
              <w:rPr>
                <w:rFonts w:cs="Garamond"/>
                <w:b/>
                <w:iCs/>
                <w:color w:val="000000"/>
              </w:rPr>
              <w:t xml:space="preserve">Produits attendus </w:t>
            </w:r>
          </w:p>
        </w:tc>
        <w:tc>
          <w:tcPr>
            <w:tcW w:w="3085" w:type="dxa"/>
            <w:shd w:val="clear" w:color="auto" w:fill="BFBFBF" w:themeFill="background1" w:themeFillShade="BF"/>
          </w:tcPr>
          <w:p w:rsidR="00132E91" w:rsidRPr="00132E91" w:rsidRDefault="00132E91" w:rsidP="00132E91">
            <w:pPr>
              <w:autoSpaceDE w:val="0"/>
              <w:autoSpaceDN w:val="0"/>
              <w:adjustRightInd w:val="0"/>
              <w:spacing w:after="0" w:line="240" w:lineRule="auto"/>
              <w:rPr>
                <w:rFonts w:cs="Garamond"/>
                <w:b/>
                <w:color w:val="000000"/>
              </w:rPr>
            </w:pPr>
            <w:r w:rsidRPr="00132E91">
              <w:rPr>
                <w:rFonts w:cs="Garamond"/>
                <w:b/>
                <w:iCs/>
                <w:color w:val="000000"/>
              </w:rPr>
              <w:t xml:space="preserve">Pertinence face au projet </w:t>
            </w:r>
            <w:r w:rsidRPr="008B5CAA">
              <w:rPr>
                <w:rFonts w:cs="Garamond"/>
                <w:b/>
                <w:iCs/>
                <w:color w:val="000000"/>
              </w:rPr>
              <w:t>CB2</w:t>
            </w:r>
          </w:p>
        </w:tc>
      </w:tr>
      <w:tr w:rsidR="004F27EA" w:rsidRPr="00A72E41" w:rsidTr="004F27EA">
        <w:trPr>
          <w:trHeight w:val="236"/>
        </w:trPr>
        <w:tc>
          <w:tcPr>
            <w:tcW w:w="9255" w:type="dxa"/>
            <w:gridSpan w:val="3"/>
          </w:tcPr>
          <w:p w:rsidR="004F27EA" w:rsidRPr="00A72E41" w:rsidRDefault="004F27EA" w:rsidP="00132E91">
            <w:pPr>
              <w:autoSpaceDE w:val="0"/>
              <w:autoSpaceDN w:val="0"/>
              <w:adjustRightInd w:val="0"/>
              <w:spacing w:after="0" w:line="240" w:lineRule="auto"/>
              <w:rPr>
                <w:rFonts w:cs="Garamond"/>
                <w:i/>
                <w:iCs/>
                <w:color w:val="000000"/>
              </w:rPr>
            </w:pPr>
            <w:r w:rsidRPr="00A72E41">
              <w:rPr>
                <w:rFonts w:cs="Garamond"/>
                <w:b/>
                <w:iCs/>
                <w:color w:val="000000"/>
              </w:rPr>
              <w:t>SP 2014-2017</w:t>
            </w:r>
          </w:p>
        </w:tc>
      </w:tr>
      <w:tr w:rsidR="00A72E41" w:rsidRPr="00A72E41" w:rsidTr="004F27EA">
        <w:trPr>
          <w:trHeight w:val="236"/>
        </w:trPr>
        <w:tc>
          <w:tcPr>
            <w:tcW w:w="3085" w:type="dxa"/>
          </w:tcPr>
          <w:p w:rsidR="00A72E41" w:rsidRPr="00A72E41" w:rsidRDefault="00A72E41" w:rsidP="00B6658A">
            <w:pPr>
              <w:autoSpaceDE w:val="0"/>
              <w:autoSpaceDN w:val="0"/>
              <w:adjustRightInd w:val="0"/>
              <w:spacing w:after="0" w:line="240" w:lineRule="auto"/>
              <w:rPr>
                <w:rFonts w:cs="Garamond"/>
                <w:iCs/>
                <w:color w:val="000000"/>
              </w:rPr>
            </w:pPr>
            <w:r>
              <w:rPr>
                <w:rFonts w:cs="Garamond"/>
                <w:iCs/>
                <w:color w:val="000000"/>
              </w:rPr>
              <w:t xml:space="preserve">Effet 2 : </w:t>
            </w:r>
            <w:r w:rsidRPr="00A72E41">
              <w:rPr>
                <w:rFonts w:cs="Garamond"/>
                <w:iCs/>
                <w:color w:val="000000"/>
              </w:rPr>
              <w:t>Il est répondu aux attentes des citoyens, notamment en matière de liberté d’expression, de développement, de primauté du droit et de redevabilité, grâce à des systèmes plus solides de gouvernance démocratique</w:t>
            </w:r>
          </w:p>
          <w:p w:rsidR="00A72E41" w:rsidRPr="00A72E41" w:rsidRDefault="00A72E41" w:rsidP="00B6658A">
            <w:pPr>
              <w:autoSpaceDE w:val="0"/>
              <w:autoSpaceDN w:val="0"/>
              <w:adjustRightInd w:val="0"/>
              <w:spacing w:after="0" w:line="240" w:lineRule="auto"/>
              <w:rPr>
                <w:rFonts w:cs="Garamond"/>
                <w:iCs/>
                <w:color w:val="000000"/>
              </w:rPr>
            </w:pPr>
          </w:p>
        </w:tc>
        <w:tc>
          <w:tcPr>
            <w:tcW w:w="3085" w:type="dxa"/>
          </w:tcPr>
          <w:p w:rsidR="00A72E41" w:rsidRPr="00A72E41" w:rsidRDefault="00A72E41" w:rsidP="00A72E41">
            <w:pPr>
              <w:autoSpaceDE w:val="0"/>
              <w:autoSpaceDN w:val="0"/>
              <w:adjustRightInd w:val="0"/>
              <w:spacing w:after="0" w:line="240" w:lineRule="auto"/>
              <w:rPr>
                <w:rFonts w:cs="Garamond"/>
                <w:i/>
                <w:iCs/>
                <w:color w:val="000000"/>
              </w:rPr>
            </w:pPr>
            <w:r>
              <w:rPr>
                <w:rFonts w:cs="Garamond"/>
                <w:i/>
                <w:iCs/>
                <w:color w:val="000000"/>
              </w:rPr>
              <w:t>Cadres, politiques et institutions juridiques et réglementaires dotés de moyens pour garantir la conservation, l’exploitation durable ainsi que l’accès aux avantages des ressources naturelles, de la biodiversité et des écosystèmes ainsi que leur partage, conformément aux conventions internationales et à la législation nationale</w:t>
            </w:r>
          </w:p>
        </w:tc>
        <w:tc>
          <w:tcPr>
            <w:tcW w:w="3085" w:type="dxa"/>
          </w:tcPr>
          <w:p w:rsidR="00F95DB7" w:rsidRPr="00F95DB7" w:rsidRDefault="00F95DB7" w:rsidP="00F95DB7">
            <w:pPr>
              <w:autoSpaceDE w:val="0"/>
              <w:autoSpaceDN w:val="0"/>
              <w:adjustRightInd w:val="0"/>
              <w:spacing w:after="0" w:line="240" w:lineRule="auto"/>
              <w:rPr>
                <w:rFonts w:cs="Garamond"/>
                <w:i/>
                <w:iCs/>
                <w:color w:val="000000"/>
              </w:rPr>
            </w:pPr>
          </w:p>
          <w:p w:rsidR="00F95DB7" w:rsidRPr="00F95DB7" w:rsidRDefault="00F95DB7" w:rsidP="00F95DB7">
            <w:pPr>
              <w:autoSpaceDE w:val="0"/>
              <w:autoSpaceDN w:val="0"/>
              <w:adjustRightInd w:val="0"/>
              <w:spacing w:after="0" w:line="240" w:lineRule="auto"/>
              <w:rPr>
                <w:rFonts w:cs="Garamond"/>
                <w:i/>
                <w:iCs/>
                <w:color w:val="000000"/>
              </w:rPr>
            </w:pPr>
            <w:r w:rsidRPr="00F95DB7">
              <w:rPr>
                <w:rFonts w:cs="Garamond"/>
                <w:i/>
                <w:iCs/>
                <w:color w:val="000000"/>
              </w:rPr>
              <w:t>Protection de l’environnement et développement durable</w:t>
            </w:r>
          </w:p>
          <w:p w:rsidR="00F95DB7" w:rsidRPr="00F95DB7" w:rsidRDefault="00F95DB7" w:rsidP="00F95DB7">
            <w:pPr>
              <w:autoSpaceDE w:val="0"/>
              <w:autoSpaceDN w:val="0"/>
              <w:adjustRightInd w:val="0"/>
              <w:spacing w:after="0" w:line="240" w:lineRule="auto"/>
              <w:rPr>
                <w:rFonts w:cs="Garamond"/>
                <w:i/>
                <w:iCs/>
                <w:color w:val="000000"/>
              </w:rPr>
            </w:pPr>
          </w:p>
          <w:p w:rsidR="00F95DB7" w:rsidRPr="00F95DB7" w:rsidRDefault="00F95DB7" w:rsidP="00F95DB7">
            <w:pPr>
              <w:autoSpaceDE w:val="0"/>
              <w:autoSpaceDN w:val="0"/>
              <w:adjustRightInd w:val="0"/>
              <w:spacing w:after="0" w:line="240" w:lineRule="auto"/>
              <w:rPr>
                <w:rFonts w:cs="Garamond"/>
                <w:i/>
                <w:iCs/>
                <w:color w:val="000000"/>
              </w:rPr>
            </w:pPr>
            <w:r w:rsidRPr="00F95DB7">
              <w:rPr>
                <w:rFonts w:cs="Garamond"/>
                <w:i/>
                <w:iCs/>
                <w:color w:val="000000"/>
              </w:rPr>
              <w:t xml:space="preserve">Renforcement des capacités </w:t>
            </w:r>
          </w:p>
          <w:p w:rsidR="00F95DB7" w:rsidRPr="00F95DB7" w:rsidRDefault="00F95DB7" w:rsidP="00F95DB7">
            <w:pPr>
              <w:autoSpaceDE w:val="0"/>
              <w:autoSpaceDN w:val="0"/>
              <w:adjustRightInd w:val="0"/>
              <w:spacing w:after="0" w:line="240" w:lineRule="auto"/>
              <w:rPr>
                <w:rFonts w:cs="Garamond"/>
                <w:i/>
                <w:iCs/>
                <w:color w:val="000000"/>
              </w:rPr>
            </w:pPr>
          </w:p>
          <w:p w:rsidR="00A72E41" w:rsidRPr="00A72E41" w:rsidRDefault="00F95DB7" w:rsidP="00F95DB7">
            <w:pPr>
              <w:autoSpaceDE w:val="0"/>
              <w:autoSpaceDN w:val="0"/>
              <w:adjustRightInd w:val="0"/>
              <w:spacing w:after="0" w:line="240" w:lineRule="auto"/>
              <w:rPr>
                <w:rFonts w:cs="Garamond"/>
                <w:i/>
                <w:iCs/>
                <w:color w:val="000000"/>
              </w:rPr>
            </w:pPr>
            <w:r w:rsidRPr="00F95DB7">
              <w:rPr>
                <w:rFonts w:cs="Garamond"/>
                <w:i/>
                <w:iCs/>
                <w:color w:val="000000"/>
              </w:rPr>
              <w:t>Méthodes et outils d’intégration des enjeux environnementaux globaux</w:t>
            </w:r>
          </w:p>
        </w:tc>
      </w:tr>
      <w:tr w:rsidR="004F27EA" w:rsidRPr="00132E91" w:rsidTr="004F27EA">
        <w:trPr>
          <w:trHeight w:val="258"/>
        </w:trPr>
        <w:tc>
          <w:tcPr>
            <w:tcW w:w="9255" w:type="dxa"/>
            <w:gridSpan w:val="3"/>
          </w:tcPr>
          <w:p w:rsidR="004F27EA" w:rsidRPr="00132E91" w:rsidRDefault="004F27EA" w:rsidP="00132E91">
            <w:pPr>
              <w:autoSpaceDE w:val="0"/>
              <w:autoSpaceDN w:val="0"/>
              <w:adjustRightInd w:val="0"/>
              <w:spacing w:after="0" w:line="240" w:lineRule="auto"/>
              <w:rPr>
                <w:rFonts w:cs="Garamond"/>
                <w:color w:val="000000"/>
              </w:rPr>
            </w:pPr>
            <w:r w:rsidRPr="00132E91">
              <w:rPr>
                <w:rFonts w:cs="Garamond"/>
                <w:b/>
                <w:bCs/>
                <w:color w:val="000000"/>
              </w:rPr>
              <w:t>PA</w:t>
            </w:r>
            <w:r w:rsidRPr="00A72E41">
              <w:rPr>
                <w:rFonts w:cs="Garamond"/>
                <w:b/>
                <w:bCs/>
                <w:color w:val="000000"/>
              </w:rPr>
              <w:t>C</w:t>
            </w:r>
            <w:r w:rsidRPr="00132E91">
              <w:rPr>
                <w:rFonts w:cs="Garamond"/>
                <w:b/>
                <w:bCs/>
                <w:color w:val="000000"/>
              </w:rPr>
              <w:t xml:space="preserve"> 20</w:t>
            </w:r>
            <w:r w:rsidRPr="00A72E41">
              <w:rPr>
                <w:rFonts w:cs="Garamond"/>
                <w:b/>
                <w:bCs/>
                <w:color w:val="000000"/>
              </w:rPr>
              <w:t>12</w:t>
            </w:r>
            <w:r w:rsidRPr="00132E91">
              <w:rPr>
                <w:rFonts w:cs="Garamond"/>
                <w:b/>
                <w:bCs/>
                <w:color w:val="000000"/>
              </w:rPr>
              <w:t xml:space="preserve"> - 201</w:t>
            </w:r>
            <w:r w:rsidRPr="00A72E41">
              <w:rPr>
                <w:rFonts w:cs="Garamond"/>
                <w:b/>
                <w:bCs/>
                <w:color w:val="000000"/>
              </w:rPr>
              <w:t>6</w:t>
            </w:r>
          </w:p>
        </w:tc>
      </w:tr>
      <w:tr w:rsidR="00A72E41" w:rsidRPr="00132E91" w:rsidTr="004F27EA">
        <w:trPr>
          <w:trHeight w:val="1483"/>
        </w:trPr>
        <w:tc>
          <w:tcPr>
            <w:tcW w:w="3085" w:type="dxa"/>
          </w:tcPr>
          <w:p w:rsidR="00A72E41" w:rsidRPr="00132E91" w:rsidRDefault="00A72E41" w:rsidP="001C7FB0">
            <w:pPr>
              <w:autoSpaceDE w:val="0"/>
              <w:autoSpaceDN w:val="0"/>
              <w:adjustRightInd w:val="0"/>
              <w:spacing w:after="0" w:line="240" w:lineRule="auto"/>
              <w:rPr>
                <w:rFonts w:cs="Garamond"/>
                <w:color w:val="000000"/>
              </w:rPr>
            </w:pPr>
            <w:r w:rsidRPr="00A72E41">
              <w:rPr>
                <w:rFonts w:cs="Garamond"/>
                <w:color w:val="000000"/>
              </w:rPr>
              <w:t xml:space="preserve">Effet 5 : Les principes de la « Charte nationale de l’environnement et du développement durable » sont mis en œuvre en assurant la cohérence entre les stratégies sectorielles et les priorités en matière d’environnement, d'adaptation aux changements climatiques et de gestion des risques, et en renforçant la convergence territoriale dans les zones et pour les </w:t>
            </w:r>
            <w:r w:rsidRPr="00A72E41">
              <w:rPr>
                <w:rFonts w:cs="Garamond"/>
                <w:color w:val="000000"/>
              </w:rPr>
              <w:lastRenderedPageBreak/>
              <w:t>populations les plus vulnérables, avec une attention particulière au genre</w:t>
            </w:r>
          </w:p>
        </w:tc>
        <w:tc>
          <w:tcPr>
            <w:tcW w:w="3085" w:type="dxa"/>
          </w:tcPr>
          <w:p w:rsidR="00A72E41" w:rsidRPr="00132E91" w:rsidRDefault="00A72E41" w:rsidP="00132E91">
            <w:pPr>
              <w:autoSpaceDE w:val="0"/>
              <w:autoSpaceDN w:val="0"/>
              <w:adjustRightInd w:val="0"/>
              <w:spacing w:after="0" w:line="240" w:lineRule="auto"/>
              <w:rPr>
                <w:rFonts w:cs="Garamond"/>
                <w:color w:val="000000"/>
              </w:rPr>
            </w:pPr>
            <w:r w:rsidRPr="00A72E41">
              <w:rPr>
                <w:rFonts w:cs="Garamond"/>
                <w:i/>
                <w:iCs/>
                <w:color w:val="000000"/>
              </w:rPr>
              <w:lastRenderedPageBreak/>
              <w:t>Des plans et projets territoriaux de développement dans les zones ciblées sont mises en œuvre en tenant compte des dispositions de la Charte Nationale de l’Environnement et du Développement Durable</w:t>
            </w:r>
          </w:p>
        </w:tc>
        <w:tc>
          <w:tcPr>
            <w:tcW w:w="3085" w:type="dxa"/>
          </w:tcPr>
          <w:p w:rsidR="00A72E41" w:rsidRPr="00132E91" w:rsidRDefault="00A72E41" w:rsidP="00132E91">
            <w:pPr>
              <w:autoSpaceDE w:val="0"/>
              <w:autoSpaceDN w:val="0"/>
              <w:adjustRightInd w:val="0"/>
              <w:spacing w:after="0" w:line="240" w:lineRule="auto"/>
            </w:pPr>
          </w:p>
          <w:p w:rsidR="00A72E41" w:rsidRPr="00132E91" w:rsidRDefault="00A72E41" w:rsidP="00132E91">
            <w:pPr>
              <w:autoSpaceDE w:val="0"/>
              <w:autoSpaceDN w:val="0"/>
              <w:adjustRightInd w:val="0"/>
              <w:spacing w:after="0" w:line="240" w:lineRule="auto"/>
              <w:rPr>
                <w:rFonts w:cs="Garamond"/>
                <w:color w:val="000000"/>
              </w:rPr>
            </w:pPr>
            <w:r w:rsidRPr="00132E91">
              <w:rPr>
                <w:rFonts w:cs="Garamond"/>
                <w:i/>
                <w:iCs/>
                <w:color w:val="000000"/>
              </w:rPr>
              <w:t xml:space="preserve">Gestion durable de l’environnement </w:t>
            </w:r>
          </w:p>
          <w:p w:rsidR="00F95DB7" w:rsidRDefault="00F95DB7" w:rsidP="00132E91">
            <w:pPr>
              <w:autoSpaceDE w:val="0"/>
              <w:autoSpaceDN w:val="0"/>
              <w:adjustRightInd w:val="0"/>
              <w:spacing w:after="0" w:line="240" w:lineRule="auto"/>
              <w:rPr>
                <w:rFonts w:cs="Garamond"/>
                <w:i/>
                <w:iCs/>
                <w:color w:val="000000"/>
              </w:rPr>
            </w:pPr>
          </w:p>
          <w:p w:rsidR="00A72E41" w:rsidRPr="00132E91" w:rsidRDefault="00A72E41" w:rsidP="00132E91">
            <w:pPr>
              <w:autoSpaceDE w:val="0"/>
              <w:autoSpaceDN w:val="0"/>
              <w:adjustRightInd w:val="0"/>
              <w:spacing w:after="0" w:line="240" w:lineRule="auto"/>
              <w:rPr>
                <w:rFonts w:cs="Garamond"/>
                <w:color w:val="000000"/>
              </w:rPr>
            </w:pPr>
            <w:r w:rsidRPr="00132E91">
              <w:rPr>
                <w:rFonts w:cs="Garamond"/>
                <w:i/>
                <w:iCs/>
                <w:color w:val="000000"/>
              </w:rPr>
              <w:t xml:space="preserve">Action en faveur de l’intégration effective des conventions internationales </w:t>
            </w:r>
          </w:p>
          <w:p w:rsidR="00F95DB7" w:rsidRDefault="00F95DB7" w:rsidP="00132E91">
            <w:pPr>
              <w:autoSpaceDE w:val="0"/>
              <w:autoSpaceDN w:val="0"/>
              <w:adjustRightInd w:val="0"/>
              <w:spacing w:after="0" w:line="240" w:lineRule="auto"/>
              <w:rPr>
                <w:rFonts w:cs="Wingdings 2"/>
                <w:color w:val="000000"/>
              </w:rPr>
            </w:pPr>
          </w:p>
          <w:p w:rsidR="00A72E41" w:rsidRDefault="00A72E41" w:rsidP="00132E91">
            <w:pPr>
              <w:autoSpaceDE w:val="0"/>
              <w:autoSpaceDN w:val="0"/>
              <w:adjustRightInd w:val="0"/>
              <w:spacing w:after="0" w:line="240" w:lineRule="auto"/>
              <w:rPr>
                <w:rFonts w:cs="Wingdings 2"/>
                <w:i/>
                <w:color w:val="000000"/>
              </w:rPr>
            </w:pPr>
            <w:r w:rsidRPr="00132E91">
              <w:rPr>
                <w:rFonts w:cs="Wingdings 2"/>
                <w:i/>
                <w:color w:val="000000"/>
              </w:rPr>
              <w:t xml:space="preserve">Approche </w:t>
            </w:r>
            <w:r w:rsidR="00F95DB7">
              <w:rPr>
                <w:rFonts w:cs="Wingdings 2"/>
                <w:i/>
                <w:color w:val="000000"/>
              </w:rPr>
              <w:t xml:space="preserve">IEL </w:t>
            </w:r>
            <w:r w:rsidRPr="00132E91">
              <w:rPr>
                <w:rFonts w:cs="Wingdings 2"/>
                <w:i/>
                <w:color w:val="000000"/>
              </w:rPr>
              <w:t xml:space="preserve">novatrice </w:t>
            </w:r>
          </w:p>
          <w:p w:rsidR="00F95DB7" w:rsidRDefault="00F95DB7" w:rsidP="00132E91">
            <w:pPr>
              <w:autoSpaceDE w:val="0"/>
              <w:autoSpaceDN w:val="0"/>
              <w:adjustRightInd w:val="0"/>
              <w:spacing w:after="0" w:line="240" w:lineRule="auto"/>
              <w:rPr>
                <w:rFonts w:cs="Wingdings 2"/>
                <w:i/>
                <w:color w:val="000000"/>
              </w:rPr>
            </w:pPr>
          </w:p>
          <w:p w:rsidR="00F95DB7" w:rsidRPr="00132E91" w:rsidRDefault="00F95DB7" w:rsidP="00132E91">
            <w:pPr>
              <w:autoSpaceDE w:val="0"/>
              <w:autoSpaceDN w:val="0"/>
              <w:adjustRightInd w:val="0"/>
              <w:spacing w:after="0" w:line="240" w:lineRule="auto"/>
              <w:rPr>
                <w:rFonts w:cs="Wingdings 2"/>
                <w:i/>
                <w:color w:val="000000"/>
              </w:rPr>
            </w:pPr>
            <w:r>
              <w:rPr>
                <w:rFonts w:cs="Wingdings 2"/>
                <w:i/>
                <w:color w:val="000000"/>
              </w:rPr>
              <w:t>Gendérisation du guide d’intégration de la démarche IEL</w:t>
            </w:r>
          </w:p>
          <w:p w:rsidR="00A72E41" w:rsidRPr="00132E91" w:rsidRDefault="00A72E41" w:rsidP="00132E91">
            <w:pPr>
              <w:autoSpaceDE w:val="0"/>
              <w:autoSpaceDN w:val="0"/>
              <w:adjustRightInd w:val="0"/>
              <w:spacing w:after="0" w:line="240" w:lineRule="auto"/>
              <w:rPr>
                <w:rFonts w:cs="Wingdings 2"/>
                <w:color w:val="000000"/>
              </w:rPr>
            </w:pPr>
          </w:p>
        </w:tc>
      </w:tr>
    </w:tbl>
    <w:p w:rsidR="00B4512F" w:rsidRDefault="00F95DB7" w:rsidP="00F95DB7">
      <w:pPr>
        <w:autoSpaceDE w:val="0"/>
        <w:autoSpaceDN w:val="0"/>
        <w:adjustRightInd w:val="0"/>
        <w:spacing w:after="0" w:line="240" w:lineRule="auto"/>
        <w:jc w:val="both"/>
        <w:rPr>
          <w:rFonts w:cs="ACaslonPro-Regular"/>
          <w:color w:val="000000"/>
        </w:rPr>
      </w:pPr>
      <w:r w:rsidRPr="00F95DB7">
        <w:rPr>
          <w:rFonts w:cs="ACaslonPro-Regular"/>
          <w:color w:val="000000"/>
        </w:rPr>
        <w:lastRenderedPageBreak/>
        <w:t xml:space="preserve">Le </w:t>
      </w:r>
      <w:r>
        <w:rPr>
          <w:rFonts w:cs="ACaslonPro-Regular"/>
          <w:color w:val="000000"/>
        </w:rPr>
        <w:t xml:space="preserve">projet CB2 répond à une priorité nationale en matière de renforcement des capacités </w:t>
      </w:r>
      <w:r w:rsidR="000E0FDE">
        <w:rPr>
          <w:rFonts w:cs="ACaslonPro-Regular"/>
          <w:color w:val="000000"/>
        </w:rPr>
        <w:t>identifiée</w:t>
      </w:r>
      <w:r>
        <w:rPr>
          <w:rFonts w:cs="ACaslonPro-Regular"/>
          <w:color w:val="000000"/>
        </w:rPr>
        <w:t xml:space="preserve"> par le projet ANCR. </w:t>
      </w:r>
      <w:r w:rsidR="000E0FDE">
        <w:rPr>
          <w:rFonts w:cs="ACaslonPro-Regular"/>
          <w:color w:val="000000"/>
        </w:rPr>
        <w:t xml:space="preserve">La stratégie du projet CB2 met </w:t>
      </w:r>
      <w:r w:rsidRPr="00F95DB7">
        <w:rPr>
          <w:rFonts w:cs="ACaslonPro-Regular"/>
          <w:color w:val="000000"/>
        </w:rPr>
        <w:t xml:space="preserve">l’accent sur le renforcement des capacités des institutions publiques pour une </w:t>
      </w:r>
      <w:r w:rsidR="000E0FDE">
        <w:rPr>
          <w:rFonts w:cs="ACaslonPro-Regular"/>
          <w:color w:val="000000"/>
        </w:rPr>
        <w:t xml:space="preserve">intégration des préoccupations des trois conventions de Rio dans la planification locale. Le projet CB2 </w:t>
      </w:r>
      <w:r w:rsidRPr="00F95DB7">
        <w:rPr>
          <w:rFonts w:cs="ACaslonPro-Regular"/>
          <w:color w:val="000000"/>
        </w:rPr>
        <w:t xml:space="preserve">est en </w:t>
      </w:r>
      <w:r w:rsidR="000E0FDE">
        <w:rPr>
          <w:rFonts w:cs="ACaslonPro-Regular"/>
          <w:color w:val="000000"/>
        </w:rPr>
        <w:t xml:space="preserve">ce sens en </w:t>
      </w:r>
      <w:r w:rsidRPr="00F95DB7">
        <w:rPr>
          <w:rFonts w:cs="ACaslonPro-Regular"/>
          <w:color w:val="000000"/>
        </w:rPr>
        <w:t>accord avec la politique du Maroc en matière de développement ainsi qu’avec les priorités thématiques identifiées par l’UNDAF. A ceci s’ajoute le fait que l’idée du projet prend également en compte le respect des engagements internationaux du Maroc vis-à-v</w:t>
      </w:r>
      <w:r w:rsidR="000E0FDE">
        <w:rPr>
          <w:rFonts w:cs="ACaslonPro-Regular"/>
          <w:color w:val="000000"/>
        </w:rPr>
        <w:t>is des trois conventions de Rio</w:t>
      </w:r>
      <w:r w:rsidRPr="00F95DB7">
        <w:rPr>
          <w:rFonts w:cs="ACaslonPro-Regular"/>
          <w:color w:val="000000"/>
        </w:rPr>
        <w:t>.</w:t>
      </w:r>
    </w:p>
    <w:p w:rsidR="000E0FDE" w:rsidRDefault="000E0FDE" w:rsidP="00F95DB7">
      <w:pPr>
        <w:autoSpaceDE w:val="0"/>
        <w:autoSpaceDN w:val="0"/>
        <w:adjustRightInd w:val="0"/>
        <w:spacing w:after="0" w:line="240" w:lineRule="auto"/>
        <w:jc w:val="both"/>
        <w:rPr>
          <w:rFonts w:cs="ACaslonPro-Regular"/>
          <w:color w:val="000000"/>
        </w:rPr>
      </w:pPr>
    </w:p>
    <w:p w:rsidR="008B5CAA" w:rsidRPr="008B5CAA" w:rsidRDefault="008B5CAA" w:rsidP="008B5CAA">
      <w:pPr>
        <w:autoSpaceDE w:val="0"/>
        <w:autoSpaceDN w:val="0"/>
        <w:adjustRightInd w:val="0"/>
        <w:spacing w:after="0" w:line="240" w:lineRule="auto"/>
        <w:jc w:val="both"/>
        <w:rPr>
          <w:rFonts w:cs="ACaslonPro-Regular"/>
          <w:b/>
          <w:color w:val="000000"/>
          <w:u w:val="single"/>
        </w:rPr>
      </w:pPr>
      <w:r w:rsidRPr="008B5CAA">
        <w:rPr>
          <w:rFonts w:cs="ACaslonPro-Regular"/>
          <w:b/>
          <w:color w:val="000000"/>
          <w:u w:val="single"/>
        </w:rPr>
        <w:t>Pertinence du projet au regard des engagements du pays dans le cadre des trois conventions de Rio</w:t>
      </w:r>
    </w:p>
    <w:p w:rsidR="008B5CAA" w:rsidRPr="008B5CAA" w:rsidRDefault="008B5CAA" w:rsidP="008B5CAA">
      <w:pPr>
        <w:autoSpaceDE w:val="0"/>
        <w:autoSpaceDN w:val="0"/>
        <w:adjustRightInd w:val="0"/>
        <w:spacing w:after="0" w:line="240" w:lineRule="auto"/>
        <w:jc w:val="both"/>
        <w:rPr>
          <w:rFonts w:cs="ACaslonPro-Regular"/>
          <w:color w:val="000000"/>
        </w:rPr>
      </w:pPr>
    </w:p>
    <w:p w:rsidR="008B5CAA" w:rsidRDefault="008B5CAA" w:rsidP="008B5CAA">
      <w:pPr>
        <w:autoSpaceDE w:val="0"/>
        <w:autoSpaceDN w:val="0"/>
        <w:adjustRightInd w:val="0"/>
        <w:spacing w:after="0" w:line="240" w:lineRule="auto"/>
        <w:jc w:val="both"/>
        <w:rPr>
          <w:rFonts w:cs="ACaslonPro-Regular"/>
          <w:color w:val="000000"/>
        </w:rPr>
      </w:pPr>
      <w:r>
        <w:rPr>
          <w:rFonts w:cs="ACaslonPro-Regular"/>
          <w:color w:val="000000"/>
        </w:rPr>
        <w:t>Le Maroc ayant ratifié les trois conventions de Rio (Changements climatiques en 1995, Biodiversité en 1992 et Désertification en 1994),il a l’obligation légale de les</w:t>
      </w:r>
      <w:r w:rsidRPr="008B5CAA">
        <w:rPr>
          <w:rFonts w:cs="ACaslonPro-Regular"/>
          <w:color w:val="000000"/>
        </w:rPr>
        <w:t xml:space="preserve"> mettre en </w:t>
      </w:r>
      <w:r>
        <w:rPr>
          <w:rFonts w:cs="ACaslonPro-Regular"/>
          <w:color w:val="000000"/>
        </w:rPr>
        <w:t>œuvre</w:t>
      </w:r>
      <w:r w:rsidRPr="008B5CAA">
        <w:rPr>
          <w:rFonts w:cs="ACaslonPro-Regular"/>
          <w:color w:val="000000"/>
        </w:rPr>
        <w:t xml:space="preserve">. </w:t>
      </w:r>
      <w:r>
        <w:rPr>
          <w:rFonts w:cs="ACaslonPro-Regular"/>
          <w:color w:val="000000"/>
        </w:rPr>
        <w:t>La nouvelle constitution de 2011 a</w:t>
      </w:r>
      <w:r w:rsidRPr="008B5CAA">
        <w:rPr>
          <w:rFonts w:cs="ACaslonPro-Regular"/>
          <w:color w:val="000000"/>
        </w:rPr>
        <w:t>ccorde aux conventions internationales dûment ratifiées par le Maroc, dans le cadre des dispositions de la Constitution et des lois du Royaume, et dès lapublication de ces conventions, la primauté sur le droit interne du pays, et harmoniser enconséquence les dispositions pertinentes de sa législation nationale</w:t>
      </w:r>
      <w:r w:rsidR="00913FEC">
        <w:rPr>
          <w:rFonts w:cs="ACaslonPro-Regular"/>
          <w:color w:val="000000"/>
        </w:rPr>
        <w:t xml:space="preserve"> avec les dispositions de ces conventions</w:t>
      </w:r>
      <w:r>
        <w:rPr>
          <w:rFonts w:cs="ACaslonPro-Regular"/>
          <w:color w:val="000000"/>
        </w:rPr>
        <w:t xml:space="preserve">. </w:t>
      </w:r>
      <w:r w:rsidRPr="008B5CAA">
        <w:rPr>
          <w:rFonts w:cs="ACaslonPro-Regular"/>
          <w:color w:val="000000"/>
        </w:rPr>
        <w:t>Cet état de fait est également appuyé par la convergence des objectifs d</w:t>
      </w:r>
      <w:r>
        <w:rPr>
          <w:rFonts w:cs="ACaslonPro-Regular"/>
          <w:color w:val="000000"/>
        </w:rPr>
        <w:t>u projet avec les exigences des trois conventions comme le montre le tableau suivant.</w:t>
      </w:r>
    </w:p>
    <w:p w:rsidR="008B5CAA" w:rsidRDefault="008B5CAA" w:rsidP="00F95DB7">
      <w:pPr>
        <w:autoSpaceDE w:val="0"/>
        <w:autoSpaceDN w:val="0"/>
        <w:adjustRightInd w:val="0"/>
        <w:spacing w:after="0" w:line="240" w:lineRule="auto"/>
        <w:jc w:val="both"/>
        <w:rPr>
          <w:rFonts w:cs="ACaslonPro-Regula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2"/>
        <w:gridCol w:w="1468"/>
        <w:gridCol w:w="1560"/>
        <w:gridCol w:w="1701"/>
        <w:gridCol w:w="2517"/>
      </w:tblGrid>
      <w:tr w:rsidR="00272351" w:rsidRPr="00272351" w:rsidTr="00272351">
        <w:tc>
          <w:tcPr>
            <w:tcW w:w="20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72351" w:rsidRPr="00272351" w:rsidRDefault="00272351" w:rsidP="00FD01E1">
            <w:pPr>
              <w:spacing w:after="0" w:line="240" w:lineRule="auto"/>
              <w:jc w:val="right"/>
              <w:rPr>
                <w:rFonts w:eastAsia="Times New Roman" w:cs="Times New Roman"/>
                <w:b/>
                <w:bCs/>
              </w:rPr>
            </w:pPr>
            <w:r w:rsidRPr="00272351">
              <w:rPr>
                <w:rFonts w:eastAsia="Times New Roman" w:cs="Times New Roman"/>
                <w:b/>
                <w:bCs/>
              </w:rPr>
              <w:t>Conventions</w:t>
            </w:r>
          </w:p>
          <w:p w:rsidR="00272351" w:rsidRPr="00272351" w:rsidRDefault="00272351" w:rsidP="00FD01E1">
            <w:pPr>
              <w:spacing w:after="0" w:line="240" w:lineRule="auto"/>
              <w:jc w:val="both"/>
              <w:rPr>
                <w:rFonts w:eastAsia="Times New Roman" w:cs="Times New Roman"/>
                <w:b/>
                <w:bCs/>
              </w:rPr>
            </w:pPr>
          </w:p>
          <w:p w:rsidR="00272351" w:rsidRPr="00272351" w:rsidRDefault="00272351" w:rsidP="00FD01E1">
            <w:pPr>
              <w:spacing w:after="0" w:line="240" w:lineRule="auto"/>
              <w:jc w:val="both"/>
              <w:rPr>
                <w:rFonts w:eastAsia="Times New Roman" w:cs="Times New Roman"/>
                <w:b/>
                <w:bCs/>
              </w:rPr>
            </w:pPr>
          </w:p>
          <w:p w:rsidR="00272351" w:rsidRPr="00272351" w:rsidRDefault="00272351" w:rsidP="00FD01E1">
            <w:pPr>
              <w:spacing w:after="0" w:line="240" w:lineRule="auto"/>
              <w:jc w:val="both"/>
              <w:rPr>
                <w:rFonts w:eastAsia="Times New Roman" w:cs="Times New Roman"/>
                <w:b/>
                <w:bCs/>
              </w:rPr>
            </w:pPr>
            <w:r w:rsidRPr="00272351">
              <w:rPr>
                <w:rFonts w:eastAsia="Times New Roman" w:cs="Times New Roman"/>
                <w:b/>
                <w:bCs/>
              </w:rPr>
              <w:t>Thèmes</w:t>
            </w:r>
          </w:p>
        </w:tc>
        <w:tc>
          <w:tcPr>
            <w:tcW w:w="14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72351" w:rsidRPr="00272351" w:rsidRDefault="00272351" w:rsidP="00FD01E1">
            <w:pPr>
              <w:spacing w:after="0" w:line="240" w:lineRule="auto"/>
              <w:jc w:val="both"/>
              <w:rPr>
                <w:rFonts w:eastAsia="Times New Roman" w:cs="Times New Roman"/>
                <w:b/>
                <w:bCs/>
              </w:rPr>
            </w:pPr>
            <w:r w:rsidRPr="00272351">
              <w:rPr>
                <w:rFonts w:eastAsia="Times New Roman" w:cs="Times New Roman"/>
                <w:b/>
                <w:bCs/>
              </w:rPr>
              <w:t>Biodiversité</w:t>
            </w: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72351" w:rsidRPr="00272351" w:rsidRDefault="00272351" w:rsidP="00FD01E1">
            <w:pPr>
              <w:spacing w:after="0" w:line="240" w:lineRule="auto"/>
              <w:jc w:val="both"/>
              <w:rPr>
                <w:rFonts w:eastAsia="Times New Roman" w:cs="Times New Roman"/>
                <w:b/>
                <w:bCs/>
              </w:rPr>
            </w:pPr>
            <w:r w:rsidRPr="00272351">
              <w:rPr>
                <w:rFonts w:eastAsia="Times New Roman" w:cs="Times New Roman"/>
                <w:b/>
                <w:bCs/>
              </w:rPr>
              <w:t>Changement climatique</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72351" w:rsidRPr="00272351" w:rsidRDefault="00272351" w:rsidP="00FD01E1">
            <w:pPr>
              <w:spacing w:after="0" w:line="240" w:lineRule="auto"/>
              <w:jc w:val="both"/>
              <w:rPr>
                <w:rFonts w:eastAsia="Times New Roman" w:cs="Times New Roman"/>
                <w:b/>
                <w:bCs/>
              </w:rPr>
            </w:pPr>
            <w:r w:rsidRPr="00272351">
              <w:rPr>
                <w:rFonts w:eastAsia="Times New Roman" w:cs="Times New Roman"/>
                <w:b/>
                <w:bCs/>
              </w:rPr>
              <w:t>Désertification</w:t>
            </w:r>
          </w:p>
        </w:tc>
        <w:tc>
          <w:tcPr>
            <w:tcW w:w="25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72351" w:rsidRPr="00272351" w:rsidRDefault="00272351" w:rsidP="00FD01E1">
            <w:pPr>
              <w:spacing w:line="240" w:lineRule="auto"/>
              <w:rPr>
                <w:b/>
              </w:rPr>
            </w:pPr>
            <w:r w:rsidRPr="00272351">
              <w:rPr>
                <w:b/>
              </w:rPr>
              <w:t>Pertinence face au projet CB2</w:t>
            </w:r>
          </w:p>
        </w:tc>
      </w:tr>
      <w:tr w:rsidR="00272351" w:rsidRPr="00272351" w:rsidTr="00FD01E1">
        <w:trPr>
          <w:trHeight w:val="1262"/>
        </w:trPr>
        <w:tc>
          <w:tcPr>
            <w:tcW w:w="2042" w:type="dxa"/>
            <w:tcBorders>
              <w:top w:val="single" w:sz="4" w:space="0" w:color="auto"/>
              <w:left w:val="single" w:sz="4" w:space="0" w:color="auto"/>
              <w:bottom w:val="single" w:sz="4" w:space="0" w:color="auto"/>
              <w:right w:val="single" w:sz="4" w:space="0" w:color="auto"/>
            </w:tcBorders>
          </w:tcPr>
          <w:p w:rsidR="00272351" w:rsidRPr="00272351" w:rsidRDefault="00272351" w:rsidP="00FD01E1">
            <w:pPr>
              <w:spacing w:after="0" w:line="240" w:lineRule="auto"/>
              <w:jc w:val="both"/>
              <w:rPr>
                <w:rFonts w:eastAsia="Times New Roman" w:cs="Times New Roman"/>
                <w:b/>
              </w:rPr>
            </w:pPr>
            <w:r w:rsidRPr="00272351">
              <w:rPr>
                <w:rFonts w:eastAsia="Times New Roman" w:cs="Times New Roman"/>
                <w:b/>
              </w:rPr>
              <w:t>Législation</w:t>
            </w:r>
          </w:p>
        </w:tc>
        <w:tc>
          <w:tcPr>
            <w:tcW w:w="1468" w:type="dxa"/>
            <w:tcBorders>
              <w:top w:val="single" w:sz="4" w:space="0" w:color="auto"/>
              <w:left w:val="single" w:sz="4" w:space="0" w:color="auto"/>
              <w:bottom w:val="single" w:sz="4" w:space="0" w:color="auto"/>
              <w:right w:val="single" w:sz="4" w:space="0" w:color="auto"/>
            </w:tcBorders>
          </w:tcPr>
          <w:p w:rsidR="00272351" w:rsidRPr="00272351" w:rsidRDefault="00272351" w:rsidP="00FD01E1">
            <w:pPr>
              <w:spacing w:after="0" w:line="240" w:lineRule="auto"/>
              <w:jc w:val="both"/>
              <w:rPr>
                <w:rFonts w:eastAsia="Times New Roman" w:cs="Times New Roman"/>
              </w:rPr>
            </w:pPr>
            <w:r w:rsidRPr="00272351">
              <w:rPr>
                <w:rFonts w:eastAsia="Times New Roman" w:cs="Times New Roman"/>
              </w:rPr>
              <w:t>Article 8 (k)</w:t>
            </w:r>
          </w:p>
        </w:tc>
        <w:tc>
          <w:tcPr>
            <w:tcW w:w="1560" w:type="dxa"/>
            <w:tcBorders>
              <w:top w:val="single" w:sz="4" w:space="0" w:color="auto"/>
              <w:left w:val="single" w:sz="4" w:space="0" w:color="auto"/>
              <w:bottom w:val="single" w:sz="4" w:space="0" w:color="auto"/>
              <w:right w:val="single" w:sz="4" w:space="0" w:color="auto"/>
            </w:tcBorders>
          </w:tcPr>
          <w:p w:rsidR="00272351" w:rsidRPr="00272351" w:rsidRDefault="00272351" w:rsidP="00FD01E1">
            <w:pPr>
              <w:spacing w:after="0" w:line="240" w:lineRule="auto"/>
              <w:jc w:val="both"/>
              <w:rPr>
                <w:rFonts w:eastAsia="Times New Roman" w:cs="Times New Roman"/>
              </w:rPr>
            </w:pPr>
            <w:r w:rsidRPr="00272351">
              <w:rPr>
                <w:rFonts w:eastAsia="Times New Roman" w:cs="Times New Roman"/>
              </w:rPr>
              <w:t>Préambule</w:t>
            </w:r>
          </w:p>
        </w:tc>
        <w:tc>
          <w:tcPr>
            <w:tcW w:w="1701" w:type="dxa"/>
            <w:tcBorders>
              <w:top w:val="single" w:sz="4" w:space="0" w:color="auto"/>
              <w:left w:val="single" w:sz="4" w:space="0" w:color="auto"/>
              <w:bottom w:val="single" w:sz="4" w:space="0" w:color="auto"/>
              <w:right w:val="single" w:sz="4" w:space="0" w:color="auto"/>
            </w:tcBorders>
          </w:tcPr>
          <w:p w:rsidR="00272351" w:rsidRPr="00272351" w:rsidRDefault="00272351" w:rsidP="00FD01E1">
            <w:pPr>
              <w:spacing w:after="0" w:line="240" w:lineRule="auto"/>
              <w:jc w:val="both"/>
              <w:rPr>
                <w:rFonts w:eastAsia="Times New Roman" w:cs="Times New Roman"/>
              </w:rPr>
            </w:pPr>
            <w:r w:rsidRPr="00272351">
              <w:rPr>
                <w:rFonts w:eastAsia="Times New Roman" w:cs="Times New Roman"/>
              </w:rPr>
              <w:t>Article 5 (e)</w:t>
            </w:r>
          </w:p>
        </w:tc>
        <w:tc>
          <w:tcPr>
            <w:tcW w:w="2517" w:type="dxa"/>
            <w:tcBorders>
              <w:top w:val="single" w:sz="4" w:space="0" w:color="auto"/>
              <w:left w:val="single" w:sz="4" w:space="0" w:color="auto"/>
              <w:bottom w:val="single" w:sz="4" w:space="0" w:color="auto"/>
              <w:right w:val="single" w:sz="4" w:space="0" w:color="auto"/>
            </w:tcBorders>
          </w:tcPr>
          <w:p w:rsidR="00272351" w:rsidRPr="00834612" w:rsidRDefault="00272351" w:rsidP="00FD01E1">
            <w:pPr>
              <w:spacing w:line="240" w:lineRule="auto"/>
            </w:pPr>
            <w:r w:rsidRPr="00834612">
              <w:t>Renforcement de la Charte Communale avec des articles sur la gestion IEL</w:t>
            </w:r>
          </w:p>
        </w:tc>
      </w:tr>
      <w:tr w:rsidR="00272351" w:rsidRPr="00272351" w:rsidTr="00272351">
        <w:tc>
          <w:tcPr>
            <w:tcW w:w="2042" w:type="dxa"/>
            <w:tcBorders>
              <w:top w:val="single" w:sz="4" w:space="0" w:color="auto"/>
              <w:left w:val="single" w:sz="4" w:space="0" w:color="auto"/>
              <w:bottom w:val="single" w:sz="4" w:space="0" w:color="auto"/>
              <w:right w:val="single" w:sz="4" w:space="0" w:color="auto"/>
            </w:tcBorders>
          </w:tcPr>
          <w:p w:rsidR="00272351" w:rsidRPr="00272351" w:rsidRDefault="00272351" w:rsidP="00FD01E1">
            <w:pPr>
              <w:spacing w:after="0" w:line="240" w:lineRule="auto"/>
              <w:jc w:val="both"/>
              <w:rPr>
                <w:rFonts w:eastAsia="Times New Roman" w:cs="Times New Roman"/>
                <w:b/>
              </w:rPr>
            </w:pPr>
            <w:r w:rsidRPr="00272351">
              <w:rPr>
                <w:rFonts w:eastAsia="Times New Roman" w:cs="Times New Roman"/>
                <w:b/>
              </w:rPr>
              <w:t>Mécanismes financiers</w:t>
            </w:r>
          </w:p>
        </w:tc>
        <w:tc>
          <w:tcPr>
            <w:tcW w:w="1468" w:type="dxa"/>
            <w:tcBorders>
              <w:top w:val="single" w:sz="4" w:space="0" w:color="auto"/>
              <w:left w:val="single" w:sz="4" w:space="0" w:color="auto"/>
              <w:bottom w:val="single" w:sz="4" w:space="0" w:color="auto"/>
              <w:right w:val="single" w:sz="4" w:space="0" w:color="auto"/>
            </w:tcBorders>
          </w:tcPr>
          <w:p w:rsidR="00272351" w:rsidRPr="00272351" w:rsidRDefault="00272351" w:rsidP="00FD01E1">
            <w:pPr>
              <w:spacing w:after="0" w:line="240" w:lineRule="auto"/>
              <w:jc w:val="both"/>
              <w:rPr>
                <w:rFonts w:eastAsia="Times New Roman" w:cs="Times New Roman"/>
              </w:rPr>
            </w:pPr>
            <w:r w:rsidRPr="00272351">
              <w:rPr>
                <w:rFonts w:eastAsia="Times New Roman" w:cs="Times New Roman"/>
              </w:rPr>
              <w:t>Article 21</w:t>
            </w:r>
          </w:p>
        </w:tc>
        <w:tc>
          <w:tcPr>
            <w:tcW w:w="1560" w:type="dxa"/>
            <w:tcBorders>
              <w:top w:val="single" w:sz="4" w:space="0" w:color="auto"/>
              <w:left w:val="single" w:sz="4" w:space="0" w:color="auto"/>
              <w:bottom w:val="single" w:sz="4" w:space="0" w:color="auto"/>
              <w:right w:val="single" w:sz="4" w:space="0" w:color="auto"/>
            </w:tcBorders>
          </w:tcPr>
          <w:p w:rsidR="00272351" w:rsidRPr="00272351" w:rsidRDefault="00272351" w:rsidP="00FD01E1">
            <w:pPr>
              <w:spacing w:after="0" w:line="240" w:lineRule="auto"/>
              <w:jc w:val="both"/>
              <w:rPr>
                <w:rFonts w:eastAsia="Times New Roman" w:cs="Times New Roman"/>
              </w:rPr>
            </w:pPr>
            <w:r w:rsidRPr="00272351">
              <w:rPr>
                <w:rFonts w:eastAsia="Times New Roman" w:cs="Times New Roman"/>
              </w:rPr>
              <w:t>Article 4 (1) (7)</w:t>
            </w:r>
          </w:p>
        </w:tc>
        <w:tc>
          <w:tcPr>
            <w:tcW w:w="1701" w:type="dxa"/>
            <w:tcBorders>
              <w:top w:val="single" w:sz="4" w:space="0" w:color="auto"/>
              <w:left w:val="single" w:sz="4" w:space="0" w:color="auto"/>
              <w:bottom w:val="single" w:sz="4" w:space="0" w:color="auto"/>
              <w:right w:val="single" w:sz="4" w:space="0" w:color="auto"/>
            </w:tcBorders>
          </w:tcPr>
          <w:p w:rsidR="00272351" w:rsidRPr="00272351" w:rsidRDefault="00272351" w:rsidP="00FD01E1">
            <w:pPr>
              <w:spacing w:after="0" w:line="240" w:lineRule="auto"/>
              <w:jc w:val="both"/>
              <w:rPr>
                <w:rFonts w:eastAsia="Times New Roman" w:cs="Times New Roman"/>
              </w:rPr>
            </w:pPr>
            <w:r w:rsidRPr="00272351">
              <w:rPr>
                <w:rFonts w:eastAsia="Times New Roman" w:cs="Times New Roman"/>
              </w:rPr>
              <w:t>Article 21</w:t>
            </w:r>
          </w:p>
        </w:tc>
        <w:tc>
          <w:tcPr>
            <w:tcW w:w="2517" w:type="dxa"/>
            <w:tcBorders>
              <w:top w:val="single" w:sz="4" w:space="0" w:color="auto"/>
              <w:left w:val="single" w:sz="4" w:space="0" w:color="auto"/>
              <w:bottom w:val="single" w:sz="4" w:space="0" w:color="auto"/>
              <w:right w:val="single" w:sz="4" w:space="0" w:color="auto"/>
            </w:tcBorders>
          </w:tcPr>
          <w:p w:rsidR="00272351" w:rsidRPr="00834612" w:rsidRDefault="00272351" w:rsidP="00FD01E1">
            <w:pPr>
              <w:spacing w:line="240" w:lineRule="auto"/>
            </w:pPr>
            <w:r w:rsidRPr="00834612">
              <w:t>Suivi des budgets consacrés à l’IEL dans les PCD et ILDH</w:t>
            </w:r>
          </w:p>
        </w:tc>
      </w:tr>
      <w:tr w:rsidR="00272351" w:rsidRPr="00272351" w:rsidTr="00272351">
        <w:tc>
          <w:tcPr>
            <w:tcW w:w="2042" w:type="dxa"/>
            <w:tcBorders>
              <w:top w:val="single" w:sz="4" w:space="0" w:color="auto"/>
              <w:left w:val="single" w:sz="4" w:space="0" w:color="auto"/>
              <w:bottom w:val="single" w:sz="4" w:space="0" w:color="auto"/>
              <w:right w:val="single" w:sz="4" w:space="0" w:color="auto"/>
            </w:tcBorders>
          </w:tcPr>
          <w:p w:rsidR="00272351" w:rsidRPr="00272351" w:rsidRDefault="00B400DD" w:rsidP="00FD01E1">
            <w:pPr>
              <w:spacing w:after="0" w:line="240" w:lineRule="auto"/>
              <w:jc w:val="both"/>
              <w:rPr>
                <w:rFonts w:eastAsia="Times New Roman" w:cs="Times New Roman"/>
                <w:b/>
              </w:rPr>
            </w:pPr>
            <w:r w:rsidRPr="00272351">
              <w:rPr>
                <w:rFonts w:eastAsia="Times New Roman" w:cs="Times New Roman"/>
                <w:b/>
              </w:rPr>
              <w:t>Participation publique</w:t>
            </w:r>
          </w:p>
        </w:tc>
        <w:tc>
          <w:tcPr>
            <w:tcW w:w="1468" w:type="dxa"/>
            <w:tcBorders>
              <w:top w:val="single" w:sz="4" w:space="0" w:color="auto"/>
              <w:left w:val="single" w:sz="4" w:space="0" w:color="auto"/>
              <w:bottom w:val="single" w:sz="4" w:space="0" w:color="auto"/>
              <w:right w:val="single" w:sz="4" w:space="0" w:color="auto"/>
            </w:tcBorders>
          </w:tcPr>
          <w:p w:rsidR="00272351" w:rsidRPr="00272351" w:rsidRDefault="00272351" w:rsidP="00FD01E1">
            <w:pPr>
              <w:spacing w:after="0" w:line="240" w:lineRule="auto"/>
              <w:jc w:val="both"/>
              <w:rPr>
                <w:rFonts w:eastAsia="Times New Roman" w:cs="Times New Roman"/>
              </w:rPr>
            </w:pPr>
            <w:r w:rsidRPr="00272351">
              <w:rPr>
                <w:rFonts w:eastAsia="Times New Roman" w:cs="Times New Roman"/>
              </w:rPr>
              <w:t>Article 14 (a)</w:t>
            </w:r>
          </w:p>
        </w:tc>
        <w:tc>
          <w:tcPr>
            <w:tcW w:w="1560" w:type="dxa"/>
            <w:tcBorders>
              <w:top w:val="single" w:sz="4" w:space="0" w:color="auto"/>
              <w:left w:val="single" w:sz="4" w:space="0" w:color="auto"/>
              <w:bottom w:val="single" w:sz="4" w:space="0" w:color="auto"/>
              <w:right w:val="single" w:sz="4" w:space="0" w:color="auto"/>
            </w:tcBorders>
          </w:tcPr>
          <w:p w:rsidR="00272351" w:rsidRPr="00272351" w:rsidRDefault="00272351" w:rsidP="00FD01E1">
            <w:pPr>
              <w:spacing w:after="0" w:line="240" w:lineRule="auto"/>
              <w:jc w:val="both"/>
              <w:rPr>
                <w:rFonts w:eastAsia="Times New Roman" w:cs="Times New Roman"/>
              </w:rPr>
            </w:pPr>
            <w:r w:rsidRPr="00272351">
              <w:rPr>
                <w:rFonts w:eastAsia="Times New Roman" w:cs="Times New Roman"/>
              </w:rPr>
              <w:t>Article 6 (i) (a) (iii)</w:t>
            </w:r>
          </w:p>
        </w:tc>
        <w:tc>
          <w:tcPr>
            <w:tcW w:w="1701" w:type="dxa"/>
            <w:tcBorders>
              <w:top w:val="single" w:sz="4" w:space="0" w:color="auto"/>
              <w:left w:val="single" w:sz="4" w:space="0" w:color="auto"/>
              <w:bottom w:val="single" w:sz="4" w:space="0" w:color="auto"/>
              <w:right w:val="single" w:sz="4" w:space="0" w:color="auto"/>
            </w:tcBorders>
          </w:tcPr>
          <w:p w:rsidR="00272351" w:rsidRPr="00272351" w:rsidRDefault="00272351" w:rsidP="00FD01E1">
            <w:pPr>
              <w:spacing w:after="0" w:line="240" w:lineRule="auto"/>
              <w:jc w:val="both"/>
              <w:rPr>
                <w:rFonts w:eastAsia="Times New Roman" w:cs="Times New Roman"/>
              </w:rPr>
            </w:pPr>
            <w:r w:rsidRPr="00272351">
              <w:rPr>
                <w:rFonts w:eastAsia="Times New Roman" w:cs="Times New Roman"/>
              </w:rPr>
              <w:t>Articles 5 (d), 10.2 (f), 19.3 (b)</w:t>
            </w:r>
          </w:p>
        </w:tc>
        <w:tc>
          <w:tcPr>
            <w:tcW w:w="2517" w:type="dxa"/>
            <w:tcBorders>
              <w:top w:val="single" w:sz="4" w:space="0" w:color="auto"/>
              <w:left w:val="single" w:sz="4" w:space="0" w:color="auto"/>
              <w:bottom w:val="single" w:sz="4" w:space="0" w:color="auto"/>
              <w:right w:val="single" w:sz="4" w:space="0" w:color="auto"/>
            </w:tcBorders>
          </w:tcPr>
          <w:p w:rsidR="00272351" w:rsidRPr="00834612" w:rsidRDefault="00272351" w:rsidP="00FD01E1">
            <w:pPr>
              <w:spacing w:line="240" w:lineRule="auto"/>
            </w:pPr>
            <w:r w:rsidRPr="00834612">
              <w:t>Approche participative de l’élaboration des PCD et des ILDH</w:t>
            </w:r>
          </w:p>
        </w:tc>
      </w:tr>
      <w:tr w:rsidR="00272351" w:rsidRPr="00272351" w:rsidTr="00272351">
        <w:tc>
          <w:tcPr>
            <w:tcW w:w="2042" w:type="dxa"/>
            <w:tcBorders>
              <w:top w:val="single" w:sz="4" w:space="0" w:color="auto"/>
              <w:left w:val="single" w:sz="4" w:space="0" w:color="auto"/>
              <w:bottom w:val="single" w:sz="4" w:space="0" w:color="auto"/>
              <w:right w:val="single" w:sz="4" w:space="0" w:color="auto"/>
            </w:tcBorders>
          </w:tcPr>
          <w:p w:rsidR="00272351" w:rsidRPr="00272351" w:rsidRDefault="00272351" w:rsidP="00FD01E1">
            <w:pPr>
              <w:spacing w:after="0" w:line="240" w:lineRule="auto"/>
              <w:jc w:val="both"/>
              <w:rPr>
                <w:rFonts w:eastAsia="Times New Roman" w:cs="Times New Roman"/>
                <w:b/>
              </w:rPr>
            </w:pPr>
            <w:r w:rsidRPr="00272351">
              <w:rPr>
                <w:rFonts w:eastAsia="Times New Roman" w:cs="Times New Roman"/>
                <w:b/>
              </w:rPr>
              <w:t>Formation</w:t>
            </w:r>
          </w:p>
        </w:tc>
        <w:tc>
          <w:tcPr>
            <w:tcW w:w="1468" w:type="dxa"/>
            <w:tcBorders>
              <w:top w:val="single" w:sz="4" w:space="0" w:color="auto"/>
              <w:left w:val="single" w:sz="4" w:space="0" w:color="auto"/>
              <w:bottom w:val="single" w:sz="4" w:space="0" w:color="auto"/>
              <w:right w:val="single" w:sz="4" w:space="0" w:color="auto"/>
            </w:tcBorders>
          </w:tcPr>
          <w:p w:rsidR="00272351" w:rsidRPr="00272351" w:rsidRDefault="00272351" w:rsidP="00FD01E1">
            <w:pPr>
              <w:spacing w:after="0" w:line="240" w:lineRule="auto"/>
              <w:jc w:val="both"/>
              <w:rPr>
                <w:rFonts w:eastAsia="Times New Roman" w:cs="Times New Roman"/>
              </w:rPr>
            </w:pPr>
            <w:r w:rsidRPr="00272351">
              <w:rPr>
                <w:rFonts w:eastAsia="Times New Roman" w:cs="Times New Roman"/>
              </w:rPr>
              <w:t>Article 12 (a)</w:t>
            </w:r>
          </w:p>
        </w:tc>
        <w:tc>
          <w:tcPr>
            <w:tcW w:w="1560" w:type="dxa"/>
            <w:tcBorders>
              <w:top w:val="single" w:sz="4" w:space="0" w:color="auto"/>
              <w:left w:val="single" w:sz="4" w:space="0" w:color="auto"/>
              <w:bottom w:val="single" w:sz="4" w:space="0" w:color="auto"/>
              <w:right w:val="single" w:sz="4" w:space="0" w:color="auto"/>
            </w:tcBorders>
          </w:tcPr>
          <w:p w:rsidR="00272351" w:rsidRPr="00272351" w:rsidRDefault="00272351" w:rsidP="00FD01E1">
            <w:pPr>
              <w:spacing w:after="0" w:line="240" w:lineRule="auto"/>
              <w:jc w:val="both"/>
              <w:rPr>
                <w:rFonts w:eastAsia="Times New Roman" w:cs="Times New Roman"/>
              </w:rPr>
            </w:pPr>
            <w:r w:rsidRPr="00272351">
              <w:rPr>
                <w:rFonts w:eastAsia="Times New Roman" w:cs="Times New Roman"/>
              </w:rPr>
              <w:t>Article 6</w:t>
            </w:r>
          </w:p>
        </w:tc>
        <w:tc>
          <w:tcPr>
            <w:tcW w:w="1701" w:type="dxa"/>
            <w:tcBorders>
              <w:top w:val="single" w:sz="4" w:space="0" w:color="auto"/>
              <w:left w:val="single" w:sz="4" w:space="0" w:color="auto"/>
              <w:bottom w:val="single" w:sz="4" w:space="0" w:color="auto"/>
              <w:right w:val="single" w:sz="4" w:space="0" w:color="auto"/>
            </w:tcBorders>
          </w:tcPr>
          <w:p w:rsidR="00272351" w:rsidRPr="00272351" w:rsidRDefault="00272351" w:rsidP="00FD01E1">
            <w:pPr>
              <w:spacing w:after="0" w:line="240" w:lineRule="auto"/>
              <w:jc w:val="both"/>
              <w:rPr>
                <w:rFonts w:eastAsia="Times New Roman" w:cs="Times New Roman"/>
              </w:rPr>
            </w:pPr>
            <w:r w:rsidRPr="00272351">
              <w:rPr>
                <w:rFonts w:eastAsia="Times New Roman" w:cs="Times New Roman"/>
              </w:rPr>
              <w:t>Article 19</w:t>
            </w:r>
          </w:p>
        </w:tc>
        <w:tc>
          <w:tcPr>
            <w:tcW w:w="2517" w:type="dxa"/>
            <w:tcBorders>
              <w:top w:val="single" w:sz="4" w:space="0" w:color="auto"/>
              <w:left w:val="single" w:sz="4" w:space="0" w:color="auto"/>
              <w:bottom w:val="single" w:sz="4" w:space="0" w:color="auto"/>
              <w:right w:val="single" w:sz="4" w:space="0" w:color="auto"/>
            </w:tcBorders>
          </w:tcPr>
          <w:p w:rsidR="00272351" w:rsidRPr="00834612" w:rsidRDefault="00272351" w:rsidP="00FD01E1">
            <w:pPr>
              <w:spacing w:line="240" w:lineRule="auto"/>
            </w:pPr>
            <w:r w:rsidRPr="00834612">
              <w:t>Plan de renforcement des capacités de 20 institutions et 200 cadres sur la démarche IEL</w:t>
            </w:r>
          </w:p>
        </w:tc>
      </w:tr>
      <w:tr w:rsidR="00272351" w:rsidRPr="00272351" w:rsidTr="00272351">
        <w:tc>
          <w:tcPr>
            <w:tcW w:w="2042" w:type="dxa"/>
            <w:tcBorders>
              <w:top w:val="single" w:sz="4" w:space="0" w:color="auto"/>
              <w:left w:val="single" w:sz="4" w:space="0" w:color="auto"/>
              <w:bottom w:val="single" w:sz="4" w:space="0" w:color="auto"/>
              <w:right w:val="single" w:sz="4" w:space="0" w:color="auto"/>
            </w:tcBorders>
          </w:tcPr>
          <w:p w:rsidR="00272351" w:rsidRPr="00272351" w:rsidRDefault="00272351" w:rsidP="00FD01E1">
            <w:pPr>
              <w:spacing w:after="0" w:line="240" w:lineRule="auto"/>
              <w:rPr>
                <w:rFonts w:eastAsia="Times New Roman" w:cs="Times New Roman"/>
                <w:b/>
              </w:rPr>
            </w:pPr>
            <w:r w:rsidRPr="00272351">
              <w:rPr>
                <w:rFonts w:eastAsia="Times New Roman" w:cs="Times New Roman"/>
                <w:b/>
              </w:rPr>
              <w:t>Evaluation de l’environnement</w:t>
            </w:r>
          </w:p>
        </w:tc>
        <w:tc>
          <w:tcPr>
            <w:tcW w:w="1468" w:type="dxa"/>
            <w:tcBorders>
              <w:top w:val="single" w:sz="4" w:space="0" w:color="auto"/>
              <w:left w:val="single" w:sz="4" w:space="0" w:color="auto"/>
              <w:bottom w:val="single" w:sz="4" w:space="0" w:color="auto"/>
              <w:right w:val="single" w:sz="4" w:space="0" w:color="auto"/>
            </w:tcBorders>
          </w:tcPr>
          <w:p w:rsidR="00272351" w:rsidRPr="00272351" w:rsidRDefault="00272351" w:rsidP="00FD01E1">
            <w:pPr>
              <w:spacing w:after="0" w:line="240" w:lineRule="auto"/>
              <w:jc w:val="both"/>
              <w:rPr>
                <w:rFonts w:eastAsia="Times New Roman" w:cs="Times New Roman"/>
              </w:rPr>
            </w:pPr>
            <w:r w:rsidRPr="00272351">
              <w:rPr>
                <w:rFonts w:eastAsia="Times New Roman" w:cs="Times New Roman"/>
              </w:rPr>
              <w:t>Article 14</w:t>
            </w:r>
          </w:p>
        </w:tc>
        <w:tc>
          <w:tcPr>
            <w:tcW w:w="1560" w:type="dxa"/>
            <w:tcBorders>
              <w:top w:val="single" w:sz="4" w:space="0" w:color="auto"/>
              <w:left w:val="single" w:sz="4" w:space="0" w:color="auto"/>
              <w:bottom w:val="single" w:sz="4" w:space="0" w:color="auto"/>
              <w:right w:val="single" w:sz="4" w:space="0" w:color="auto"/>
            </w:tcBorders>
          </w:tcPr>
          <w:p w:rsidR="00272351" w:rsidRPr="00272351" w:rsidRDefault="00272351" w:rsidP="00FD01E1">
            <w:pPr>
              <w:spacing w:after="0" w:line="240" w:lineRule="auto"/>
              <w:jc w:val="both"/>
              <w:rPr>
                <w:rFonts w:eastAsia="Times New Roman" w:cs="Times New Roman"/>
              </w:rPr>
            </w:pPr>
            <w:r w:rsidRPr="00272351">
              <w:rPr>
                <w:rFonts w:eastAsia="Times New Roman" w:cs="Times New Roman"/>
              </w:rPr>
              <w:t>Article 4 (i) (d) relatif à l’impact</w:t>
            </w:r>
          </w:p>
        </w:tc>
        <w:tc>
          <w:tcPr>
            <w:tcW w:w="1701" w:type="dxa"/>
            <w:tcBorders>
              <w:top w:val="single" w:sz="4" w:space="0" w:color="auto"/>
              <w:left w:val="single" w:sz="4" w:space="0" w:color="auto"/>
              <w:bottom w:val="single" w:sz="4" w:space="0" w:color="auto"/>
              <w:right w:val="single" w:sz="4" w:space="0" w:color="auto"/>
            </w:tcBorders>
          </w:tcPr>
          <w:p w:rsidR="00272351" w:rsidRPr="00272351" w:rsidRDefault="00272351" w:rsidP="00FD01E1">
            <w:pPr>
              <w:spacing w:after="0" w:line="240" w:lineRule="auto"/>
              <w:jc w:val="both"/>
              <w:rPr>
                <w:rFonts w:eastAsia="Times New Roman" w:cs="Times New Roman"/>
              </w:rPr>
            </w:pPr>
          </w:p>
        </w:tc>
        <w:tc>
          <w:tcPr>
            <w:tcW w:w="2517" w:type="dxa"/>
            <w:tcBorders>
              <w:top w:val="single" w:sz="4" w:space="0" w:color="auto"/>
              <w:left w:val="single" w:sz="4" w:space="0" w:color="auto"/>
              <w:bottom w:val="single" w:sz="4" w:space="0" w:color="auto"/>
              <w:right w:val="single" w:sz="4" w:space="0" w:color="auto"/>
            </w:tcBorders>
          </w:tcPr>
          <w:p w:rsidR="00272351" w:rsidRDefault="00272351" w:rsidP="00FD01E1">
            <w:pPr>
              <w:spacing w:line="240" w:lineRule="auto"/>
            </w:pPr>
            <w:r w:rsidRPr="00834612">
              <w:t>Démarche IEL basée sur les principes de l’EES</w:t>
            </w:r>
          </w:p>
        </w:tc>
      </w:tr>
    </w:tbl>
    <w:p w:rsidR="00577B89" w:rsidRPr="00577B89" w:rsidRDefault="00577B89" w:rsidP="00577B89">
      <w:pPr>
        <w:autoSpaceDE w:val="0"/>
        <w:autoSpaceDN w:val="0"/>
        <w:adjustRightInd w:val="0"/>
        <w:spacing w:after="0" w:line="240" w:lineRule="auto"/>
        <w:jc w:val="both"/>
        <w:rPr>
          <w:rFonts w:cs="ACaslonPro-Regular"/>
          <w:b/>
          <w:color w:val="000000"/>
          <w:u w:val="single"/>
        </w:rPr>
      </w:pPr>
      <w:r w:rsidRPr="00577B89">
        <w:rPr>
          <w:rFonts w:cs="ACaslonPro-Regular"/>
          <w:b/>
          <w:color w:val="000000"/>
          <w:u w:val="single"/>
        </w:rPr>
        <w:t>Pertinence du projet face aux objectifs du millénaire pour le développement</w:t>
      </w:r>
    </w:p>
    <w:p w:rsidR="00272351" w:rsidRDefault="00577B89" w:rsidP="00577B89">
      <w:pPr>
        <w:autoSpaceDE w:val="0"/>
        <w:autoSpaceDN w:val="0"/>
        <w:adjustRightInd w:val="0"/>
        <w:spacing w:after="0" w:line="240" w:lineRule="auto"/>
        <w:jc w:val="both"/>
        <w:rPr>
          <w:rFonts w:cs="ACaslonPro-Regular"/>
          <w:color w:val="000000"/>
        </w:rPr>
      </w:pPr>
      <w:r w:rsidRPr="00577B89">
        <w:rPr>
          <w:rFonts w:cs="ACaslonPro-Regular"/>
          <w:color w:val="000000"/>
        </w:rPr>
        <w:lastRenderedPageBreak/>
        <w:t xml:space="preserve">Le Maroc a souscrit en 1990, à l’instar de la communauté internationale, à l’engagement de réaliser les OMD à atteindre d’ici 2015. Le projet </w:t>
      </w:r>
      <w:r>
        <w:rPr>
          <w:rFonts w:cs="ACaslonPro-Regular"/>
          <w:color w:val="000000"/>
        </w:rPr>
        <w:t>CB 2</w:t>
      </w:r>
      <w:r w:rsidRPr="00577B89">
        <w:rPr>
          <w:rFonts w:cs="ACaslonPro-Regular"/>
          <w:color w:val="000000"/>
        </w:rPr>
        <w:t xml:space="preserve"> s’inscrit dans la lignée de l’objectif 7 - Assurer un environnement durable des OMD. En effet, le projet vient renforcer les efforts initiés par le Maroc aux niveaux institutionnel et réglementaire en renforçant </w:t>
      </w:r>
      <w:r>
        <w:rPr>
          <w:rFonts w:cs="ACaslonPro-Regular"/>
          <w:color w:val="000000"/>
        </w:rPr>
        <w:t xml:space="preserve">les capacités des acteurs locaux du développement </w:t>
      </w:r>
      <w:r w:rsidR="00012A81">
        <w:rPr>
          <w:rFonts w:cs="ACaslonPro-Regular"/>
          <w:color w:val="000000"/>
        </w:rPr>
        <w:t xml:space="preserve">et en les outillant pour intégrer le développement durable dans leur processus de planification stratégique local. </w:t>
      </w:r>
    </w:p>
    <w:p w:rsidR="00012A81" w:rsidRDefault="00012A81" w:rsidP="00577B89">
      <w:pPr>
        <w:autoSpaceDE w:val="0"/>
        <w:autoSpaceDN w:val="0"/>
        <w:adjustRightInd w:val="0"/>
        <w:spacing w:after="0" w:line="240" w:lineRule="auto"/>
        <w:jc w:val="both"/>
        <w:rPr>
          <w:rFonts w:cs="ACaslonPro-Regular"/>
          <w:color w:val="000000"/>
        </w:rPr>
      </w:pPr>
    </w:p>
    <w:p w:rsidR="00012A81" w:rsidRPr="00012A81" w:rsidRDefault="00012A81" w:rsidP="00012A81">
      <w:pPr>
        <w:autoSpaceDE w:val="0"/>
        <w:autoSpaceDN w:val="0"/>
        <w:adjustRightInd w:val="0"/>
        <w:spacing w:after="0" w:line="240" w:lineRule="auto"/>
        <w:jc w:val="both"/>
        <w:rPr>
          <w:rFonts w:cs="ACaslonPro-Regular"/>
          <w:b/>
          <w:color w:val="000000"/>
          <w:u w:val="single"/>
        </w:rPr>
      </w:pPr>
      <w:r w:rsidRPr="00012A81">
        <w:rPr>
          <w:rFonts w:cs="ACaslonPro-Regular"/>
          <w:b/>
          <w:color w:val="000000"/>
          <w:u w:val="single"/>
        </w:rPr>
        <w:t>Pertinence du ProDoc</w:t>
      </w:r>
    </w:p>
    <w:p w:rsidR="00012A81" w:rsidRDefault="00012A81" w:rsidP="00012A81">
      <w:pPr>
        <w:autoSpaceDE w:val="0"/>
        <w:autoSpaceDN w:val="0"/>
        <w:adjustRightInd w:val="0"/>
        <w:spacing w:after="0" w:line="240" w:lineRule="auto"/>
        <w:jc w:val="both"/>
        <w:rPr>
          <w:rFonts w:cs="ACaslonPro-Regular"/>
          <w:color w:val="000000"/>
        </w:rPr>
      </w:pPr>
      <w:r w:rsidRPr="00012A81">
        <w:rPr>
          <w:rFonts w:cs="ACaslonPro-Regular"/>
          <w:color w:val="000000"/>
        </w:rPr>
        <w:t xml:space="preserve">Le ProDoc contient une description précise de l’objectif du projet et de ses résultats escomptés. Pour ces derniers, des rendements et activités sont présentés et détaillés, de même que leurs indicateurs. Le cadre de mise en </w:t>
      </w:r>
      <w:r>
        <w:rPr>
          <w:rFonts w:cs="ACaslonPro-Regular"/>
          <w:color w:val="000000"/>
        </w:rPr>
        <w:t>œuvre</w:t>
      </w:r>
      <w:r w:rsidRPr="00012A81">
        <w:rPr>
          <w:rFonts w:cs="ACaslonPro-Regular"/>
          <w:color w:val="000000"/>
        </w:rPr>
        <w:t xml:space="preserve"> du projet est précisé à travers une analyse contextuelle et la motivation du pays. La qualité de l’information fournie est dans l’ensemble satisfaisante. </w:t>
      </w:r>
      <w:r>
        <w:rPr>
          <w:rFonts w:cs="ACaslonPro-Regular"/>
          <w:color w:val="000000"/>
        </w:rPr>
        <w:t>En outre, le</w:t>
      </w:r>
      <w:r w:rsidRPr="00012A81">
        <w:rPr>
          <w:rFonts w:cs="ACaslonPro-Regular"/>
          <w:color w:val="000000"/>
        </w:rPr>
        <w:t xml:space="preserve"> cadre de résultats </w:t>
      </w:r>
      <w:r>
        <w:rPr>
          <w:rFonts w:cs="ACaslonPro-Regular"/>
          <w:color w:val="000000"/>
        </w:rPr>
        <w:t xml:space="preserve">est </w:t>
      </w:r>
      <w:r w:rsidRPr="00012A81">
        <w:rPr>
          <w:rFonts w:cs="ACaslonPro-Regular"/>
          <w:color w:val="000000"/>
        </w:rPr>
        <w:t xml:space="preserve">complet </w:t>
      </w:r>
      <w:r>
        <w:rPr>
          <w:rFonts w:cs="ACaslonPro-Regular"/>
          <w:color w:val="000000"/>
        </w:rPr>
        <w:t xml:space="preserve">et il est accompagné par une </w:t>
      </w:r>
      <w:r w:rsidRPr="00012A81">
        <w:rPr>
          <w:rFonts w:cs="ACaslonPro-Regular"/>
          <w:color w:val="000000"/>
        </w:rPr>
        <w:t xml:space="preserve">analyse complète </w:t>
      </w:r>
      <w:r>
        <w:rPr>
          <w:rFonts w:cs="ACaslonPro-Regular"/>
          <w:color w:val="000000"/>
        </w:rPr>
        <w:t xml:space="preserve">et pertinente </w:t>
      </w:r>
      <w:r w:rsidRPr="00012A81">
        <w:rPr>
          <w:rFonts w:cs="ACaslonPro-Regular"/>
          <w:color w:val="000000"/>
        </w:rPr>
        <w:t>des risques avec des mesures d’atténuation ou réponses possibles.</w:t>
      </w:r>
    </w:p>
    <w:p w:rsidR="00272351" w:rsidRDefault="00272351" w:rsidP="00F95DB7">
      <w:pPr>
        <w:autoSpaceDE w:val="0"/>
        <w:autoSpaceDN w:val="0"/>
        <w:adjustRightInd w:val="0"/>
        <w:spacing w:after="0" w:line="240" w:lineRule="auto"/>
        <w:jc w:val="both"/>
        <w:rPr>
          <w:rFonts w:cs="ACaslonPro-Regular"/>
          <w:color w:val="000000"/>
        </w:rPr>
      </w:pPr>
    </w:p>
    <w:tbl>
      <w:tblPr>
        <w:tblStyle w:val="Grilledutableau"/>
        <w:tblW w:w="0" w:type="auto"/>
        <w:tblLook w:val="04A0"/>
      </w:tblPr>
      <w:tblGrid>
        <w:gridCol w:w="3369"/>
        <w:gridCol w:w="1701"/>
      </w:tblGrid>
      <w:tr w:rsidR="00012A81" w:rsidRPr="00012A81" w:rsidTr="00012A81">
        <w:tc>
          <w:tcPr>
            <w:tcW w:w="3369" w:type="dxa"/>
          </w:tcPr>
          <w:p w:rsidR="00012A81" w:rsidRPr="00012A81" w:rsidRDefault="00012A81" w:rsidP="00F95DB7">
            <w:pPr>
              <w:autoSpaceDE w:val="0"/>
              <w:autoSpaceDN w:val="0"/>
              <w:adjustRightInd w:val="0"/>
              <w:jc w:val="both"/>
              <w:rPr>
                <w:rFonts w:cs="ACaslonPro-Regular"/>
                <w:b/>
                <w:color w:val="000000"/>
              </w:rPr>
            </w:pPr>
            <w:r w:rsidRPr="00012A81">
              <w:rPr>
                <w:rFonts w:cs="ACaslonPro-Regular"/>
                <w:b/>
                <w:color w:val="000000"/>
              </w:rPr>
              <w:t>Pertinence du Projet</w:t>
            </w:r>
          </w:p>
        </w:tc>
        <w:tc>
          <w:tcPr>
            <w:tcW w:w="1701" w:type="dxa"/>
          </w:tcPr>
          <w:p w:rsidR="00012A81" w:rsidRPr="00012A81" w:rsidRDefault="00012A81" w:rsidP="00F95DB7">
            <w:pPr>
              <w:autoSpaceDE w:val="0"/>
              <w:autoSpaceDN w:val="0"/>
              <w:adjustRightInd w:val="0"/>
              <w:jc w:val="both"/>
              <w:rPr>
                <w:rFonts w:cs="ACaslonPro-Regular"/>
                <w:b/>
                <w:color w:val="000000"/>
              </w:rPr>
            </w:pPr>
            <w:r w:rsidRPr="00012A81">
              <w:rPr>
                <w:rFonts w:cs="ACaslonPro-Regular"/>
                <w:b/>
                <w:color w:val="000000"/>
              </w:rPr>
              <w:t>Pertinent (P)</w:t>
            </w:r>
          </w:p>
        </w:tc>
      </w:tr>
    </w:tbl>
    <w:p w:rsidR="000E0FDE" w:rsidRDefault="000E0FDE" w:rsidP="00F95DB7">
      <w:pPr>
        <w:autoSpaceDE w:val="0"/>
        <w:autoSpaceDN w:val="0"/>
        <w:adjustRightInd w:val="0"/>
        <w:spacing w:after="0" w:line="240" w:lineRule="auto"/>
        <w:jc w:val="both"/>
        <w:rPr>
          <w:rFonts w:cs="ACaslonPro-Regular"/>
          <w:color w:val="000000"/>
        </w:rPr>
      </w:pPr>
    </w:p>
    <w:p w:rsidR="00F95DB7" w:rsidRDefault="00F95DB7" w:rsidP="00F95DB7">
      <w:pPr>
        <w:autoSpaceDE w:val="0"/>
        <w:autoSpaceDN w:val="0"/>
        <w:adjustRightInd w:val="0"/>
        <w:spacing w:after="0" w:line="240" w:lineRule="auto"/>
        <w:jc w:val="both"/>
        <w:rPr>
          <w:rFonts w:cs="ACaslonPro-Regular"/>
          <w:color w:val="000000"/>
        </w:rPr>
      </w:pPr>
    </w:p>
    <w:p w:rsidR="00012A81" w:rsidRPr="000D0898" w:rsidRDefault="00012A81" w:rsidP="00012A81">
      <w:pPr>
        <w:pStyle w:val="Titre3"/>
        <w:spacing w:before="0"/>
        <w:rPr>
          <w:rFonts w:asciiTheme="minorHAnsi" w:hAnsiTheme="minorHAnsi" w:cs="Garamond"/>
          <w:color w:val="000000"/>
        </w:rPr>
      </w:pPr>
      <w:bookmarkStart w:id="56" w:name="_Toc425414591"/>
      <w:r w:rsidRPr="000D0898">
        <w:rPr>
          <w:rFonts w:asciiTheme="minorHAnsi" w:hAnsiTheme="minorHAnsi" w:cs="Garamond"/>
          <w:bCs w:val="0"/>
          <w:color w:val="000000"/>
        </w:rPr>
        <w:t>III.</w:t>
      </w:r>
      <w:r w:rsidRPr="000D0898">
        <w:rPr>
          <w:rFonts w:asciiTheme="minorHAnsi" w:hAnsiTheme="minorHAnsi" w:cs="Garamond"/>
          <w:color w:val="000000"/>
        </w:rPr>
        <w:t>3.3. Efficacité et efficience</w:t>
      </w:r>
      <w:bookmarkEnd w:id="56"/>
    </w:p>
    <w:p w:rsidR="00012A81" w:rsidRPr="00012A81" w:rsidRDefault="00012A81" w:rsidP="00012A81">
      <w:pPr>
        <w:autoSpaceDE w:val="0"/>
        <w:autoSpaceDN w:val="0"/>
        <w:adjustRightInd w:val="0"/>
        <w:spacing w:after="0" w:line="240" w:lineRule="auto"/>
        <w:rPr>
          <w:rFonts w:cs="Garamond"/>
          <w:b/>
          <w:color w:val="000000"/>
          <w:u w:val="single"/>
        </w:rPr>
      </w:pPr>
      <w:r w:rsidRPr="00012A81">
        <w:rPr>
          <w:rFonts w:cs="Garamond"/>
          <w:b/>
          <w:iCs/>
          <w:color w:val="000000"/>
          <w:u w:val="single"/>
        </w:rPr>
        <w:t xml:space="preserve">Efficacité </w:t>
      </w:r>
    </w:p>
    <w:p w:rsidR="00012A81" w:rsidRDefault="00012A81" w:rsidP="00012A81">
      <w:pPr>
        <w:autoSpaceDE w:val="0"/>
        <w:autoSpaceDN w:val="0"/>
        <w:adjustRightInd w:val="0"/>
        <w:spacing w:after="0" w:line="240" w:lineRule="auto"/>
        <w:rPr>
          <w:rFonts w:cs="Garamond"/>
          <w:b/>
          <w:bCs/>
          <w:color w:val="000000"/>
        </w:rPr>
      </w:pPr>
    </w:p>
    <w:p w:rsidR="00012A81" w:rsidRPr="00525ACF" w:rsidRDefault="00012A81" w:rsidP="00012A81">
      <w:pPr>
        <w:autoSpaceDE w:val="0"/>
        <w:autoSpaceDN w:val="0"/>
        <w:adjustRightInd w:val="0"/>
        <w:spacing w:after="0" w:line="240" w:lineRule="auto"/>
        <w:rPr>
          <w:rFonts w:cs="Garamond"/>
          <w:b/>
          <w:bCs/>
          <w:i/>
          <w:color w:val="000000"/>
        </w:rPr>
      </w:pPr>
      <w:r w:rsidRPr="00012A81">
        <w:rPr>
          <w:rFonts w:cs="Garamond"/>
          <w:b/>
          <w:bCs/>
          <w:i/>
          <w:color w:val="000000"/>
        </w:rPr>
        <w:t xml:space="preserve">Atteinte des résultats et de l’objectif du projet </w:t>
      </w:r>
    </w:p>
    <w:p w:rsidR="00865064" w:rsidRDefault="00865064" w:rsidP="00865064">
      <w:pPr>
        <w:autoSpaceDE w:val="0"/>
        <w:autoSpaceDN w:val="0"/>
        <w:adjustRightInd w:val="0"/>
        <w:spacing w:after="0" w:line="240" w:lineRule="auto"/>
        <w:jc w:val="both"/>
        <w:rPr>
          <w:rFonts w:cs="Garamond"/>
          <w:color w:val="000000"/>
        </w:rPr>
      </w:pPr>
      <w:r w:rsidRPr="00865064">
        <w:rPr>
          <w:rFonts w:cs="Garamond"/>
          <w:color w:val="000000"/>
        </w:rPr>
        <w:t>Les indicateurs et les cibles du projet dans le ProDoc sont, définis de manière précise et mesurables. Ainsi, l'évaluation des réalisations s’est attachée à l’analyse des données à la disposition de l’</w:t>
      </w:r>
      <w:r w:rsidR="00E13E4E">
        <w:rPr>
          <w:rFonts w:cs="Garamond"/>
          <w:color w:val="000000"/>
        </w:rPr>
        <w:t>évaluateur e</w:t>
      </w:r>
      <w:r w:rsidRPr="00865064">
        <w:rPr>
          <w:rFonts w:cs="Garamond"/>
          <w:color w:val="000000"/>
        </w:rPr>
        <w:t>t aux différents entretiens avec les parties prenantes. En principe, la plupart des cibles liées aux résultats attendus du projet ont été atteintes de manière jugée satisfaisante même si des retards sont à noter. Ces derniers ne sont pas préjudiciables au projet dans la mesure où les efforts sont maintenus pour la finalisation des résultats du projet en 201</w:t>
      </w:r>
      <w:r>
        <w:rPr>
          <w:rFonts w:cs="Garamond"/>
          <w:color w:val="000000"/>
        </w:rPr>
        <w:t>5</w:t>
      </w:r>
      <w:r w:rsidRPr="00865064">
        <w:rPr>
          <w:rFonts w:cs="Garamond"/>
          <w:color w:val="000000"/>
        </w:rPr>
        <w:t>. En résumé, l’évaluation de ces différentes composantes du projet peut être présentée comme suit :</w:t>
      </w:r>
    </w:p>
    <w:p w:rsidR="00865064" w:rsidRDefault="00865064" w:rsidP="00865064">
      <w:pPr>
        <w:autoSpaceDE w:val="0"/>
        <w:autoSpaceDN w:val="0"/>
        <w:adjustRightInd w:val="0"/>
        <w:spacing w:after="0" w:line="240" w:lineRule="auto"/>
        <w:jc w:val="both"/>
        <w:rPr>
          <w:rFonts w:cs="Garamond"/>
          <w:color w:val="000000"/>
        </w:rPr>
      </w:pPr>
    </w:p>
    <w:tbl>
      <w:tblPr>
        <w:tblStyle w:val="Grilledutableau"/>
        <w:tblW w:w="0" w:type="auto"/>
        <w:tblLook w:val="04A0"/>
      </w:tblPr>
      <w:tblGrid>
        <w:gridCol w:w="6332"/>
        <w:gridCol w:w="1394"/>
        <w:gridCol w:w="1562"/>
      </w:tblGrid>
      <w:tr w:rsidR="002C33BB" w:rsidRPr="00687ED2" w:rsidTr="00604D3A">
        <w:tc>
          <w:tcPr>
            <w:tcW w:w="6332" w:type="dxa"/>
            <w:shd w:val="clear" w:color="auto" w:fill="BFBFBF" w:themeFill="background1" w:themeFillShade="BF"/>
          </w:tcPr>
          <w:p w:rsidR="002C33BB" w:rsidRPr="00687ED2" w:rsidRDefault="002C33BB" w:rsidP="00B6658A">
            <w:pPr>
              <w:autoSpaceDE w:val="0"/>
              <w:autoSpaceDN w:val="0"/>
              <w:adjustRightInd w:val="0"/>
              <w:jc w:val="center"/>
              <w:rPr>
                <w:rFonts w:cs="ACaslonPro-Regular"/>
                <w:b/>
                <w:color w:val="000000"/>
              </w:rPr>
            </w:pPr>
            <w:r w:rsidRPr="00687ED2">
              <w:rPr>
                <w:rFonts w:cs="ACaslonPro-Regular"/>
                <w:b/>
                <w:color w:val="000000"/>
              </w:rPr>
              <w:t>Résultats</w:t>
            </w:r>
          </w:p>
        </w:tc>
        <w:tc>
          <w:tcPr>
            <w:tcW w:w="1394" w:type="dxa"/>
            <w:shd w:val="clear" w:color="auto" w:fill="BFBFBF" w:themeFill="background1" w:themeFillShade="BF"/>
          </w:tcPr>
          <w:p w:rsidR="002C33BB" w:rsidRPr="00687ED2" w:rsidRDefault="002C33BB" w:rsidP="00B6658A">
            <w:pPr>
              <w:autoSpaceDE w:val="0"/>
              <w:autoSpaceDN w:val="0"/>
              <w:adjustRightInd w:val="0"/>
              <w:jc w:val="center"/>
              <w:rPr>
                <w:rFonts w:cs="ACaslonPro-Regular"/>
                <w:b/>
                <w:color w:val="000000"/>
              </w:rPr>
            </w:pPr>
            <w:r>
              <w:rPr>
                <w:rFonts w:cs="ACaslonPro-Regular"/>
                <w:b/>
                <w:color w:val="000000"/>
              </w:rPr>
              <w:t>Taux de réalisation</w:t>
            </w:r>
          </w:p>
        </w:tc>
        <w:tc>
          <w:tcPr>
            <w:tcW w:w="1562" w:type="dxa"/>
            <w:shd w:val="clear" w:color="auto" w:fill="BFBFBF" w:themeFill="background1" w:themeFillShade="BF"/>
          </w:tcPr>
          <w:p w:rsidR="002C33BB" w:rsidRPr="00687ED2" w:rsidRDefault="002C33BB" w:rsidP="00B6658A">
            <w:pPr>
              <w:autoSpaceDE w:val="0"/>
              <w:autoSpaceDN w:val="0"/>
              <w:adjustRightInd w:val="0"/>
              <w:jc w:val="center"/>
              <w:rPr>
                <w:rFonts w:cs="ACaslonPro-Regular"/>
                <w:b/>
                <w:color w:val="000000"/>
              </w:rPr>
            </w:pPr>
            <w:r w:rsidRPr="00687ED2">
              <w:rPr>
                <w:rFonts w:cs="ACaslonPro-Regular"/>
                <w:b/>
                <w:color w:val="000000"/>
              </w:rPr>
              <w:t>Notation</w:t>
            </w:r>
          </w:p>
        </w:tc>
      </w:tr>
      <w:tr w:rsidR="002C33BB" w:rsidTr="002C33BB">
        <w:tc>
          <w:tcPr>
            <w:tcW w:w="6332" w:type="dxa"/>
          </w:tcPr>
          <w:p w:rsidR="002C33BB" w:rsidRDefault="002C33BB" w:rsidP="00B6658A">
            <w:pPr>
              <w:autoSpaceDE w:val="0"/>
              <w:autoSpaceDN w:val="0"/>
              <w:adjustRightInd w:val="0"/>
              <w:rPr>
                <w:rFonts w:cs="ACaslonPro-Regular"/>
                <w:color w:val="000000"/>
              </w:rPr>
            </w:pPr>
            <w:r w:rsidRPr="00687ED2">
              <w:rPr>
                <w:rFonts w:cs="ACaslonPro-Regular"/>
                <w:color w:val="000000"/>
              </w:rPr>
              <w:t>Résultat 1 : Le cadre institutionnel pour l’intégration de la gestion de l’environnement mondial dans les programmes de l’INDH et dans la planification et le suivi des PCDs est développé.</w:t>
            </w:r>
          </w:p>
        </w:tc>
        <w:tc>
          <w:tcPr>
            <w:tcW w:w="1394" w:type="dxa"/>
          </w:tcPr>
          <w:p w:rsidR="002C33BB" w:rsidRPr="00687ED2" w:rsidRDefault="002C33BB" w:rsidP="00B6658A">
            <w:pPr>
              <w:autoSpaceDE w:val="0"/>
              <w:autoSpaceDN w:val="0"/>
              <w:adjustRightInd w:val="0"/>
              <w:jc w:val="center"/>
              <w:rPr>
                <w:rFonts w:cs="ACaslonPro-Regular"/>
                <w:b/>
                <w:color w:val="000000"/>
              </w:rPr>
            </w:pPr>
            <w:r>
              <w:rPr>
                <w:rFonts w:cs="ACaslonPro-Regular"/>
                <w:b/>
                <w:color w:val="000000"/>
              </w:rPr>
              <w:t>80%</w:t>
            </w:r>
          </w:p>
        </w:tc>
        <w:tc>
          <w:tcPr>
            <w:tcW w:w="1562" w:type="dxa"/>
          </w:tcPr>
          <w:p w:rsidR="002C33BB" w:rsidRPr="00687ED2" w:rsidRDefault="002C33BB" w:rsidP="00B6658A">
            <w:pPr>
              <w:autoSpaceDE w:val="0"/>
              <w:autoSpaceDN w:val="0"/>
              <w:adjustRightInd w:val="0"/>
              <w:jc w:val="center"/>
              <w:rPr>
                <w:rFonts w:cs="ACaslonPro-Regular"/>
                <w:b/>
                <w:color w:val="000000"/>
              </w:rPr>
            </w:pPr>
            <w:r w:rsidRPr="00687ED2">
              <w:rPr>
                <w:rFonts w:cs="ACaslonPro-Regular"/>
                <w:b/>
                <w:color w:val="000000"/>
              </w:rPr>
              <w:t>S</w:t>
            </w:r>
          </w:p>
        </w:tc>
      </w:tr>
      <w:tr w:rsidR="002C33BB" w:rsidTr="002C33BB">
        <w:tc>
          <w:tcPr>
            <w:tcW w:w="6332" w:type="dxa"/>
          </w:tcPr>
          <w:p w:rsidR="002C33BB" w:rsidRDefault="002C33BB" w:rsidP="00B6658A">
            <w:pPr>
              <w:autoSpaceDE w:val="0"/>
              <w:autoSpaceDN w:val="0"/>
              <w:adjustRightInd w:val="0"/>
              <w:rPr>
                <w:rFonts w:cs="ACaslonPro-Regular"/>
                <w:color w:val="000000"/>
              </w:rPr>
            </w:pPr>
            <w:r w:rsidRPr="00687ED2">
              <w:rPr>
                <w:rFonts w:cs="ACaslonPro-Regular"/>
                <w:color w:val="000000"/>
              </w:rPr>
              <w:t>Résultat 2 : Les capacités pour l’intégration systématique des cibles environnementales mondiales dans la plani</w:t>
            </w:r>
            <w:r>
              <w:rPr>
                <w:rFonts w:cs="ACaslonPro-Regular"/>
                <w:color w:val="000000"/>
              </w:rPr>
              <w:t>fication locale sont renforcées</w:t>
            </w:r>
          </w:p>
        </w:tc>
        <w:tc>
          <w:tcPr>
            <w:tcW w:w="1394" w:type="dxa"/>
          </w:tcPr>
          <w:p w:rsidR="002C33BB" w:rsidRPr="00687ED2" w:rsidRDefault="002C33BB" w:rsidP="00B6658A">
            <w:pPr>
              <w:autoSpaceDE w:val="0"/>
              <w:autoSpaceDN w:val="0"/>
              <w:adjustRightInd w:val="0"/>
              <w:jc w:val="center"/>
              <w:rPr>
                <w:rFonts w:cs="ACaslonPro-Regular"/>
                <w:b/>
                <w:color w:val="000000"/>
              </w:rPr>
            </w:pPr>
            <w:r>
              <w:rPr>
                <w:rFonts w:cs="ACaslonPro-Regular"/>
                <w:b/>
                <w:color w:val="000000"/>
              </w:rPr>
              <w:t>80%</w:t>
            </w:r>
          </w:p>
        </w:tc>
        <w:tc>
          <w:tcPr>
            <w:tcW w:w="1562" w:type="dxa"/>
          </w:tcPr>
          <w:p w:rsidR="002C33BB" w:rsidRPr="00687ED2" w:rsidRDefault="002C33BB" w:rsidP="00B6658A">
            <w:pPr>
              <w:autoSpaceDE w:val="0"/>
              <w:autoSpaceDN w:val="0"/>
              <w:adjustRightInd w:val="0"/>
              <w:jc w:val="center"/>
              <w:rPr>
                <w:rFonts w:cs="ACaslonPro-Regular"/>
                <w:b/>
                <w:color w:val="000000"/>
              </w:rPr>
            </w:pPr>
            <w:r w:rsidRPr="00687ED2">
              <w:rPr>
                <w:rFonts w:cs="ACaslonPro-Regular"/>
                <w:b/>
                <w:color w:val="000000"/>
              </w:rPr>
              <w:t>S</w:t>
            </w:r>
          </w:p>
        </w:tc>
      </w:tr>
      <w:tr w:rsidR="002C33BB" w:rsidTr="002C33BB">
        <w:tc>
          <w:tcPr>
            <w:tcW w:w="6332" w:type="dxa"/>
          </w:tcPr>
          <w:p w:rsidR="002C33BB" w:rsidRDefault="002C33BB" w:rsidP="00B6658A">
            <w:pPr>
              <w:autoSpaceDE w:val="0"/>
              <w:autoSpaceDN w:val="0"/>
              <w:adjustRightInd w:val="0"/>
              <w:rPr>
                <w:rFonts w:cs="ACaslonPro-Regular"/>
                <w:color w:val="000000"/>
              </w:rPr>
            </w:pPr>
            <w:r w:rsidRPr="00687ED2">
              <w:rPr>
                <w:rFonts w:cs="ACaslonPro-Regular"/>
                <w:color w:val="000000"/>
              </w:rPr>
              <w:t>Résultat 3. : Un système de gestion adaptive du projet des leçons tirées est établi</w:t>
            </w:r>
          </w:p>
        </w:tc>
        <w:tc>
          <w:tcPr>
            <w:tcW w:w="1394" w:type="dxa"/>
          </w:tcPr>
          <w:p w:rsidR="002C33BB" w:rsidRPr="00687ED2" w:rsidRDefault="002C33BB" w:rsidP="00B6658A">
            <w:pPr>
              <w:autoSpaceDE w:val="0"/>
              <w:autoSpaceDN w:val="0"/>
              <w:adjustRightInd w:val="0"/>
              <w:jc w:val="center"/>
              <w:rPr>
                <w:rFonts w:cs="ACaslonPro-Regular"/>
                <w:b/>
                <w:color w:val="000000"/>
              </w:rPr>
            </w:pPr>
            <w:r>
              <w:rPr>
                <w:rFonts w:cs="ACaslonPro-Regular"/>
                <w:b/>
                <w:color w:val="000000"/>
              </w:rPr>
              <w:t>100%</w:t>
            </w:r>
          </w:p>
        </w:tc>
        <w:tc>
          <w:tcPr>
            <w:tcW w:w="1562" w:type="dxa"/>
          </w:tcPr>
          <w:p w:rsidR="002C33BB" w:rsidRPr="00687ED2" w:rsidRDefault="002C33BB" w:rsidP="00B6658A">
            <w:pPr>
              <w:autoSpaceDE w:val="0"/>
              <w:autoSpaceDN w:val="0"/>
              <w:adjustRightInd w:val="0"/>
              <w:jc w:val="center"/>
              <w:rPr>
                <w:rFonts w:cs="ACaslonPro-Regular"/>
                <w:b/>
                <w:color w:val="000000"/>
              </w:rPr>
            </w:pPr>
            <w:r w:rsidRPr="00687ED2">
              <w:rPr>
                <w:rFonts w:cs="ACaslonPro-Regular"/>
                <w:b/>
                <w:color w:val="000000"/>
              </w:rPr>
              <w:t>HS</w:t>
            </w:r>
          </w:p>
        </w:tc>
      </w:tr>
    </w:tbl>
    <w:p w:rsidR="002C33BB" w:rsidRDefault="002C33BB" w:rsidP="00865064">
      <w:pPr>
        <w:autoSpaceDE w:val="0"/>
        <w:autoSpaceDN w:val="0"/>
        <w:adjustRightInd w:val="0"/>
        <w:spacing w:after="0" w:line="240" w:lineRule="auto"/>
        <w:jc w:val="both"/>
        <w:rPr>
          <w:rFonts w:cs="Garamond"/>
          <w:color w:val="000000"/>
        </w:rPr>
      </w:pPr>
    </w:p>
    <w:p w:rsidR="00525ACF" w:rsidRPr="00525ACF" w:rsidRDefault="00525ACF" w:rsidP="00525ACF">
      <w:pPr>
        <w:autoSpaceDE w:val="0"/>
        <w:autoSpaceDN w:val="0"/>
        <w:adjustRightInd w:val="0"/>
        <w:spacing w:after="0" w:line="240" w:lineRule="auto"/>
        <w:jc w:val="both"/>
        <w:rPr>
          <w:rFonts w:cs="Garamond"/>
          <w:b/>
          <w:i/>
          <w:color w:val="000000"/>
        </w:rPr>
      </w:pPr>
      <w:r w:rsidRPr="00525ACF">
        <w:rPr>
          <w:rFonts w:cs="Garamond"/>
          <w:b/>
          <w:i/>
          <w:color w:val="000000"/>
        </w:rPr>
        <w:t>Application des pratiques développées et enseignées sur le terrain et changements de comportements induits</w:t>
      </w:r>
    </w:p>
    <w:p w:rsidR="00525ACF" w:rsidRPr="00525ACF" w:rsidRDefault="00525ACF" w:rsidP="00525ACF">
      <w:pPr>
        <w:autoSpaceDE w:val="0"/>
        <w:autoSpaceDN w:val="0"/>
        <w:adjustRightInd w:val="0"/>
        <w:spacing w:after="0" w:line="240" w:lineRule="auto"/>
        <w:jc w:val="both"/>
        <w:rPr>
          <w:rFonts w:cs="Garamond"/>
          <w:color w:val="000000"/>
        </w:rPr>
      </w:pPr>
      <w:r w:rsidRPr="00525ACF">
        <w:rPr>
          <w:rFonts w:cs="Garamond"/>
          <w:color w:val="000000"/>
        </w:rPr>
        <w:t>Les concepts et les pratiques développés et enseignés par le projet ont été correctement appliqués sur le terrain (cf. PV des rencontres</w:t>
      </w:r>
      <w:r>
        <w:rPr>
          <w:rFonts w:cs="Garamond"/>
          <w:color w:val="000000"/>
        </w:rPr>
        <w:t xml:space="preserve"> one-to-one et visite des sites)</w:t>
      </w:r>
      <w:r w:rsidR="00BF7745">
        <w:rPr>
          <w:rFonts w:cs="Garamond"/>
          <w:color w:val="000000"/>
        </w:rPr>
        <w:t>. Ceci est le cas au niveau du verdissement des PCD qui s’appuie sur les principes de l’EES, de la budgétisation des actions environnementales identifiées, de la programmation annuelle de ces actions et de l’identification des indicateurs de suivi tenant compte des exigences des trois conventions de Rio.</w:t>
      </w:r>
    </w:p>
    <w:p w:rsidR="00525ACF" w:rsidRDefault="00525ACF" w:rsidP="00525ACF">
      <w:pPr>
        <w:autoSpaceDE w:val="0"/>
        <w:autoSpaceDN w:val="0"/>
        <w:adjustRightInd w:val="0"/>
        <w:spacing w:after="0" w:line="240" w:lineRule="auto"/>
        <w:jc w:val="both"/>
        <w:rPr>
          <w:rFonts w:cs="Garamond"/>
          <w:color w:val="000000"/>
        </w:rPr>
      </w:pPr>
      <w:r w:rsidRPr="00525ACF">
        <w:rPr>
          <w:rFonts w:cs="Garamond"/>
          <w:color w:val="000000"/>
        </w:rPr>
        <w:t xml:space="preserve">Les bénéficiaires du projet ont pris conscience de </w:t>
      </w:r>
      <w:r w:rsidR="00BF7745">
        <w:rPr>
          <w:rFonts w:cs="Garamond"/>
          <w:color w:val="000000"/>
        </w:rPr>
        <w:t>l’intégration de la démarche IEL dans la planification stratégique locale</w:t>
      </w:r>
      <w:r w:rsidRPr="00525ACF">
        <w:rPr>
          <w:rFonts w:cs="Garamond"/>
          <w:color w:val="000000"/>
        </w:rPr>
        <w:t xml:space="preserve">. </w:t>
      </w:r>
      <w:r w:rsidR="00BF7745">
        <w:rPr>
          <w:rFonts w:cs="Garamond"/>
          <w:color w:val="000000"/>
        </w:rPr>
        <w:t xml:space="preserve">La majorité des communes cibles ont procédé au verdissement de leur PCD. </w:t>
      </w:r>
      <w:r w:rsidRPr="00525ACF">
        <w:rPr>
          <w:rFonts w:cs="Garamond"/>
          <w:color w:val="000000"/>
        </w:rPr>
        <w:t xml:space="preserve">D’autres </w:t>
      </w:r>
      <w:r w:rsidR="00BF7745">
        <w:rPr>
          <w:rFonts w:cs="Garamond"/>
          <w:color w:val="000000"/>
        </w:rPr>
        <w:t>communes dans les régions pilotes sont en cours de renforcement de leur</w:t>
      </w:r>
      <w:r w:rsidR="00913FEC">
        <w:rPr>
          <w:rFonts w:cs="Garamond"/>
          <w:color w:val="000000"/>
        </w:rPr>
        <w:t>s</w:t>
      </w:r>
      <w:r w:rsidR="00BF7745">
        <w:rPr>
          <w:rFonts w:cs="Garamond"/>
          <w:color w:val="000000"/>
        </w:rPr>
        <w:t xml:space="preserve"> </w:t>
      </w:r>
      <w:r w:rsidR="00BF7745">
        <w:rPr>
          <w:rFonts w:cs="Garamond"/>
          <w:color w:val="000000"/>
        </w:rPr>
        <w:lastRenderedPageBreak/>
        <w:t>capacité</w:t>
      </w:r>
      <w:r w:rsidR="00913FEC">
        <w:rPr>
          <w:rFonts w:cs="Garamond"/>
          <w:color w:val="000000"/>
        </w:rPr>
        <w:t>s</w:t>
      </w:r>
      <w:r w:rsidR="00BF7745">
        <w:rPr>
          <w:rFonts w:cs="Garamond"/>
          <w:color w:val="000000"/>
        </w:rPr>
        <w:t xml:space="preserve"> sur la démarche IEL, tel est le cas des 33 communes de la RTT </w:t>
      </w:r>
      <w:r w:rsidR="00B400DD">
        <w:rPr>
          <w:rFonts w:cs="Garamond"/>
          <w:color w:val="000000"/>
        </w:rPr>
        <w:t xml:space="preserve">(32 communes rurales et 1 commune urbaine) </w:t>
      </w:r>
      <w:r w:rsidR="00BF7745">
        <w:rPr>
          <w:rFonts w:cs="Garamond"/>
          <w:color w:val="000000"/>
        </w:rPr>
        <w:t>qui sont accompagnées par le projet ADAGE (Coopération espagnole).</w:t>
      </w:r>
    </w:p>
    <w:p w:rsidR="00BF7745" w:rsidRDefault="00BF7745" w:rsidP="00525ACF">
      <w:pPr>
        <w:autoSpaceDE w:val="0"/>
        <w:autoSpaceDN w:val="0"/>
        <w:adjustRightInd w:val="0"/>
        <w:spacing w:after="0" w:line="240" w:lineRule="auto"/>
        <w:jc w:val="both"/>
        <w:rPr>
          <w:rFonts w:cs="Garamond"/>
          <w:color w:val="000000"/>
        </w:rPr>
      </w:pPr>
    </w:p>
    <w:p w:rsidR="00BF7745" w:rsidRPr="00B6658A" w:rsidRDefault="00BF7745" w:rsidP="00525ACF">
      <w:pPr>
        <w:autoSpaceDE w:val="0"/>
        <w:autoSpaceDN w:val="0"/>
        <w:adjustRightInd w:val="0"/>
        <w:spacing w:after="0" w:line="240" w:lineRule="auto"/>
        <w:jc w:val="both"/>
        <w:rPr>
          <w:rFonts w:cs="Garamond"/>
          <w:b/>
          <w:i/>
          <w:color w:val="000000"/>
        </w:rPr>
      </w:pPr>
      <w:r w:rsidRPr="00B6658A">
        <w:rPr>
          <w:rFonts w:cs="Garamond"/>
          <w:b/>
          <w:i/>
          <w:color w:val="000000"/>
        </w:rPr>
        <w:t>Bénéficiaire</w:t>
      </w:r>
      <w:r w:rsidR="00913FEC">
        <w:rPr>
          <w:rFonts w:cs="Garamond"/>
          <w:b/>
          <w:i/>
          <w:color w:val="000000"/>
        </w:rPr>
        <w:t>s</w:t>
      </w:r>
      <w:r w:rsidRPr="00B6658A">
        <w:rPr>
          <w:rFonts w:cs="Garamond"/>
          <w:b/>
          <w:i/>
          <w:color w:val="000000"/>
        </w:rPr>
        <w:t xml:space="preserve"> et groupes cibles</w:t>
      </w:r>
    </w:p>
    <w:p w:rsidR="003301DB" w:rsidRDefault="00BF7745" w:rsidP="00525ACF">
      <w:pPr>
        <w:autoSpaceDE w:val="0"/>
        <w:autoSpaceDN w:val="0"/>
        <w:adjustRightInd w:val="0"/>
        <w:spacing w:after="0" w:line="240" w:lineRule="auto"/>
        <w:jc w:val="both"/>
        <w:rPr>
          <w:rFonts w:cs="Garamond"/>
          <w:color w:val="000000"/>
        </w:rPr>
      </w:pPr>
      <w:r>
        <w:rPr>
          <w:rFonts w:cs="Garamond"/>
          <w:color w:val="000000"/>
        </w:rPr>
        <w:t>Le projet</w:t>
      </w:r>
      <w:r w:rsidR="003301DB">
        <w:rPr>
          <w:rFonts w:cs="Garamond"/>
          <w:color w:val="000000"/>
        </w:rPr>
        <w:t xml:space="preserve"> a ciblé les institutions qui interviennent dans le développement local et qui utilisent et maîtrisent les outils de l’approche participative. Le tableau suivant liste les bénéficiaires et les groupes cibles du projet CB2.</w:t>
      </w:r>
    </w:p>
    <w:p w:rsidR="003301DB" w:rsidRDefault="003301DB" w:rsidP="00525ACF">
      <w:pPr>
        <w:autoSpaceDE w:val="0"/>
        <w:autoSpaceDN w:val="0"/>
        <w:adjustRightInd w:val="0"/>
        <w:spacing w:after="0" w:line="240" w:lineRule="auto"/>
        <w:jc w:val="both"/>
        <w:rPr>
          <w:rFonts w:cs="Garamond"/>
          <w:color w:val="000000"/>
        </w:rPr>
      </w:pPr>
    </w:p>
    <w:tbl>
      <w:tblPr>
        <w:tblStyle w:val="Grilledutableau"/>
        <w:tblW w:w="0" w:type="auto"/>
        <w:tblLook w:val="04A0"/>
      </w:tblPr>
      <w:tblGrid>
        <w:gridCol w:w="2376"/>
        <w:gridCol w:w="6836"/>
      </w:tblGrid>
      <w:tr w:rsidR="003301DB" w:rsidTr="00B6658A">
        <w:tc>
          <w:tcPr>
            <w:tcW w:w="2376" w:type="dxa"/>
          </w:tcPr>
          <w:p w:rsidR="003301DB" w:rsidRDefault="003301DB" w:rsidP="00525ACF">
            <w:pPr>
              <w:autoSpaceDE w:val="0"/>
              <w:autoSpaceDN w:val="0"/>
              <w:adjustRightInd w:val="0"/>
              <w:jc w:val="both"/>
              <w:rPr>
                <w:rFonts w:cs="Garamond"/>
                <w:color w:val="000000"/>
              </w:rPr>
            </w:pPr>
            <w:r>
              <w:rPr>
                <w:rFonts w:cs="Garamond"/>
                <w:color w:val="000000"/>
              </w:rPr>
              <w:t>Groupes cibles</w:t>
            </w:r>
          </w:p>
        </w:tc>
        <w:tc>
          <w:tcPr>
            <w:tcW w:w="6836" w:type="dxa"/>
          </w:tcPr>
          <w:p w:rsidR="003301DB" w:rsidRDefault="003301DB" w:rsidP="00525ACF">
            <w:pPr>
              <w:autoSpaceDE w:val="0"/>
              <w:autoSpaceDN w:val="0"/>
              <w:adjustRightInd w:val="0"/>
              <w:jc w:val="both"/>
              <w:rPr>
                <w:rFonts w:cs="Garamond"/>
                <w:color w:val="000000"/>
              </w:rPr>
            </w:pPr>
            <w:r>
              <w:rPr>
                <w:rFonts w:cs="Garamond"/>
                <w:color w:val="000000"/>
              </w:rPr>
              <w:t>MDCE/DPCC et MI/DEA/DPE/DFCAT/CN_INDH</w:t>
            </w:r>
            <w:r w:rsidR="00B6658A">
              <w:rPr>
                <w:rFonts w:cs="Garamond"/>
                <w:color w:val="000000"/>
              </w:rPr>
              <w:t> ;</w:t>
            </w:r>
          </w:p>
          <w:p w:rsidR="00B6658A" w:rsidRDefault="00B6658A" w:rsidP="00525ACF">
            <w:pPr>
              <w:autoSpaceDE w:val="0"/>
              <w:autoSpaceDN w:val="0"/>
              <w:adjustRightInd w:val="0"/>
              <w:jc w:val="both"/>
              <w:rPr>
                <w:rFonts w:cs="Garamond"/>
                <w:color w:val="000000"/>
              </w:rPr>
            </w:pPr>
            <w:r>
              <w:rPr>
                <w:rFonts w:cs="Garamond"/>
                <w:color w:val="000000"/>
              </w:rPr>
              <w:t>Collectivités territoriales (régions et communes) ;</w:t>
            </w:r>
          </w:p>
          <w:p w:rsidR="00B6658A" w:rsidRDefault="00B6658A" w:rsidP="00525ACF">
            <w:pPr>
              <w:autoSpaceDE w:val="0"/>
              <w:autoSpaceDN w:val="0"/>
              <w:adjustRightInd w:val="0"/>
              <w:jc w:val="both"/>
              <w:rPr>
                <w:rFonts w:cs="Garamond"/>
                <w:color w:val="000000"/>
              </w:rPr>
            </w:pPr>
            <w:r>
              <w:rPr>
                <w:rFonts w:cs="Garamond"/>
                <w:color w:val="000000"/>
              </w:rPr>
              <w:t>Organes de gouvernance associés à la planification stratégique (PCD et ILDH)</w:t>
            </w:r>
          </w:p>
        </w:tc>
      </w:tr>
      <w:tr w:rsidR="003301DB" w:rsidTr="00B6658A">
        <w:tc>
          <w:tcPr>
            <w:tcW w:w="2376" w:type="dxa"/>
          </w:tcPr>
          <w:p w:rsidR="003301DB" w:rsidRDefault="00B6658A" w:rsidP="00525ACF">
            <w:pPr>
              <w:autoSpaceDE w:val="0"/>
              <w:autoSpaceDN w:val="0"/>
              <w:adjustRightInd w:val="0"/>
              <w:jc w:val="both"/>
              <w:rPr>
                <w:rFonts w:cs="Garamond"/>
                <w:color w:val="000000"/>
              </w:rPr>
            </w:pPr>
            <w:r>
              <w:rPr>
                <w:rFonts w:cs="Garamond"/>
                <w:color w:val="000000"/>
              </w:rPr>
              <w:t>Bénéficiaires directs</w:t>
            </w:r>
          </w:p>
        </w:tc>
        <w:tc>
          <w:tcPr>
            <w:tcW w:w="6836" w:type="dxa"/>
          </w:tcPr>
          <w:p w:rsidR="003301DB" w:rsidRDefault="00B6658A" w:rsidP="00525ACF">
            <w:pPr>
              <w:autoSpaceDE w:val="0"/>
              <w:autoSpaceDN w:val="0"/>
              <w:adjustRightInd w:val="0"/>
              <w:jc w:val="both"/>
              <w:rPr>
                <w:rFonts w:cs="Garamond"/>
                <w:color w:val="000000"/>
              </w:rPr>
            </w:pPr>
            <w:r>
              <w:rPr>
                <w:rFonts w:cs="Garamond"/>
                <w:color w:val="000000"/>
              </w:rPr>
              <w:t>Conseils régionaux de Tadla-Azilal, Tanger-Tétouan, Sous-Massa-Draa (commissions et/ou Divisions techniques de l’environnement) ;</w:t>
            </w:r>
          </w:p>
          <w:p w:rsidR="00B6658A" w:rsidRDefault="00B6658A" w:rsidP="00525ACF">
            <w:pPr>
              <w:autoSpaceDE w:val="0"/>
              <w:autoSpaceDN w:val="0"/>
              <w:adjustRightInd w:val="0"/>
              <w:jc w:val="both"/>
              <w:rPr>
                <w:rFonts w:cs="Garamond"/>
                <w:color w:val="000000"/>
              </w:rPr>
            </w:pPr>
            <w:r>
              <w:rPr>
                <w:rFonts w:cs="Garamond"/>
                <w:color w:val="000000"/>
              </w:rPr>
              <w:t>Cadres et élus des 35communes membres des GREET (11 dans la RTT, 11 dans la RTA et 13 dans la RSMD ;</w:t>
            </w:r>
          </w:p>
          <w:p w:rsidR="00B6658A" w:rsidRDefault="00B6658A" w:rsidP="00525ACF">
            <w:pPr>
              <w:autoSpaceDE w:val="0"/>
              <w:autoSpaceDN w:val="0"/>
              <w:adjustRightInd w:val="0"/>
              <w:jc w:val="both"/>
              <w:rPr>
                <w:rFonts w:cs="Garamond"/>
                <w:color w:val="000000"/>
              </w:rPr>
            </w:pPr>
            <w:r>
              <w:rPr>
                <w:rFonts w:cs="Garamond"/>
                <w:color w:val="000000"/>
              </w:rPr>
              <w:t>GREET (40 membres), Services déconcentrés, ONG, institutions de recherche, représentants du secteur privé ;</w:t>
            </w:r>
          </w:p>
          <w:p w:rsidR="00B6658A" w:rsidRDefault="00B6658A" w:rsidP="00525ACF">
            <w:pPr>
              <w:autoSpaceDE w:val="0"/>
              <w:autoSpaceDN w:val="0"/>
              <w:adjustRightInd w:val="0"/>
              <w:jc w:val="both"/>
              <w:rPr>
                <w:rFonts w:cs="Garamond"/>
                <w:color w:val="000000"/>
              </w:rPr>
            </w:pPr>
            <w:r>
              <w:rPr>
                <w:rFonts w:cs="Garamond"/>
                <w:color w:val="000000"/>
              </w:rPr>
              <w:t>Autorités locales (DAS, DCL, ADP) ;</w:t>
            </w:r>
          </w:p>
          <w:p w:rsidR="00B6658A" w:rsidRDefault="00B6658A" w:rsidP="00525ACF">
            <w:pPr>
              <w:autoSpaceDE w:val="0"/>
              <w:autoSpaceDN w:val="0"/>
              <w:adjustRightInd w:val="0"/>
              <w:jc w:val="both"/>
              <w:rPr>
                <w:rFonts w:cs="Garamond"/>
                <w:color w:val="000000"/>
              </w:rPr>
            </w:pPr>
            <w:r>
              <w:rPr>
                <w:rFonts w:cs="Garamond"/>
                <w:color w:val="000000"/>
              </w:rPr>
              <w:t>OREDD et Services régionaux de l’environnement</w:t>
            </w:r>
          </w:p>
        </w:tc>
      </w:tr>
      <w:tr w:rsidR="003301DB" w:rsidTr="00B6658A">
        <w:tc>
          <w:tcPr>
            <w:tcW w:w="2376" w:type="dxa"/>
          </w:tcPr>
          <w:p w:rsidR="003301DB" w:rsidRDefault="00B6658A" w:rsidP="00525ACF">
            <w:pPr>
              <w:autoSpaceDE w:val="0"/>
              <w:autoSpaceDN w:val="0"/>
              <w:adjustRightInd w:val="0"/>
              <w:jc w:val="both"/>
              <w:rPr>
                <w:rFonts w:cs="Garamond"/>
                <w:color w:val="000000"/>
              </w:rPr>
            </w:pPr>
            <w:r>
              <w:rPr>
                <w:rFonts w:cs="Garamond"/>
                <w:color w:val="000000"/>
              </w:rPr>
              <w:t>Bénéficiaires indirects</w:t>
            </w:r>
          </w:p>
        </w:tc>
        <w:tc>
          <w:tcPr>
            <w:tcW w:w="6836" w:type="dxa"/>
          </w:tcPr>
          <w:p w:rsidR="00B6658A" w:rsidRDefault="00B6658A" w:rsidP="00525ACF">
            <w:pPr>
              <w:autoSpaceDE w:val="0"/>
              <w:autoSpaceDN w:val="0"/>
              <w:adjustRightInd w:val="0"/>
              <w:jc w:val="both"/>
              <w:rPr>
                <w:rFonts w:cs="Garamond"/>
                <w:color w:val="000000"/>
              </w:rPr>
            </w:pPr>
            <w:r>
              <w:rPr>
                <w:rFonts w:cs="Garamond"/>
                <w:color w:val="000000"/>
              </w:rPr>
              <w:t>Population dans l</w:t>
            </w:r>
            <w:r w:rsidR="005D4497">
              <w:rPr>
                <w:rFonts w:cs="Garamond"/>
                <w:color w:val="000000"/>
              </w:rPr>
              <w:t>es régions et communes pilotes</w:t>
            </w:r>
          </w:p>
        </w:tc>
      </w:tr>
    </w:tbl>
    <w:p w:rsidR="00BF7745" w:rsidRDefault="00BF7745" w:rsidP="00525ACF">
      <w:pPr>
        <w:autoSpaceDE w:val="0"/>
        <w:autoSpaceDN w:val="0"/>
        <w:adjustRightInd w:val="0"/>
        <w:spacing w:after="0" w:line="240" w:lineRule="auto"/>
        <w:jc w:val="both"/>
        <w:rPr>
          <w:rFonts w:cs="Garamond"/>
          <w:color w:val="000000"/>
        </w:rPr>
      </w:pPr>
    </w:p>
    <w:p w:rsidR="00B6658A" w:rsidRDefault="00B6658A" w:rsidP="00525ACF">
      <w:pPr>
        <w:autoSpaceDE w:val="0"/>
        <w:autoSpaceDN w:val="0"/>
        <w:adjustRightInd w:val="0"/>
        <w:spacing w:after="0" w:line="240" w:lineRule="auto"/>
        <w:jc w:val="both"/>
        <w:rPr>
          <w:rFonts w:cs="Garamond"/>
          <w:color w:val="000000"/>
        </w:rPr>
      </w:pPr>
      <w:r>
        <w:rPr>
          <w:rFonts w:cs="Garamond"/>
          <w:color w:val="000000"/>
        </w:rPr>
        <w:t>Parmi les groupes ci</w:t>
      </w:r>
      <w:r w:rsidR="00913FEC">
        <w:rPr>
          <w:rFonts w:cs="Garamond"/>
          <w:color w:val="000000"/>
        </w:rPr>
        <w:t>bles, la participation de la CN-</w:t>
      </w:r>
      <w:r>
        <w:rPr>
          <w:rFonts w:cs="Garamond"/>
          <w:color w:val="000000"/>
        </w:rPr>
        <w:t>INDH n’a pas été de l’efficacité attendue pour atteindre la cible des 10 ILDH verdis. Ceci est dû en partie au changement de l’équip</w:t>
      </w:r>
      <w:r w:rsidR="00913FEC">
        <w:rPr>
          <w:rFonts w:cs="Garamond"/>
          <w:color w:val="000000"/>
        </w:rPr>
        <w:t>e dirigeante de la CN-INDH qui est</w:t>
      </w:r>
      <w:r w:rsidR="00084149">
        <w:rPr>
          <w:rFonts w:cs="Garamond"/>
          <w:color w:val="000000"/>
        </w:rPr>
        <w:t>survenu entre la phase d’élaboration du ProDoc et celle du</w:t>
      </w:r>
      <w:r>
        <w:rPr>
          <w:rFonts w:cs="Garamond"/>
          <w:color w:val="000000"/>
        </w:rPr>
        <w:t xml:space="preserve"> démarrage </w:t>
      </w:r>
      <w:r w:rsidR="00084149">
        <w:rPr>
          <w:rFonts w:cs="Garamond"/>
          <w:color w:val="000000"/>
        </w:rPr>
        <w:t xml:space="preserve">du projet </w:t>
      </w:r>
      <w:r w:rsidR="00913FEC">
        <w:rPr>
          <w:rFonts w:cs="Garamond"/>
          <w:color w:val="000000"/>
        </w:rPr>
        <w:t>CB2. La représentation de la CN-</w:t>
      </w:r>
      <w:r w:rsidR="00084149">
        <w:rPr>
          <w:rFonts w:cs="Garamond"/>
          <w:color w:val="000000"/>
        </w:rPr>
        <w:t xml:space="preserve">INDH au sein du CPP et de la cellule d’exécution du projet </w:t>
      </w:r>
      <w:r w:rsidR="00913FEC">
        <w:rPr>
          <w:rFonts w:cs="Garamond"/>
          <w:color w:val="000000"/>
        </w:rPr>
        <w:t xml:space="preserve">est intervenue </w:t>
      </w:r>
      <w:r w:rsidR="00084149">
        <w:rPr>
          <w:rFonts w:cs="Garamond"/>
          <w:color w:val="000000"/>
        </w:rPr>
        <w:t xml:space="preserve">plusieurs mois après le lancement du projet CB2. La participation de la CN_INDH n’a pas été du même niveau que celui de la DFCAT et de la DEA (DGCL). </w:t>
      </w:r>
    </w:p>
    <w:p w:rsidR="00B6658A" w:rsidRDefault="00B6658A" w:rsidP="00525ACF">
      <w:pPr>
        <w:autoSpaceDE w:val="0"/>
        <w:autoSpaceDN w:val="0"/>
        <w:adjustRightInd w:val="0"/>
        <w:spacing w:after="0" w:line="240" w:lineRule="auto"/>
        <w:jc w:val="both"/>
        <w:rPr>
          <w:rFonts w:cs="Garamond"/>
          <w:color w:val="000000"/>
        </w:rPr>
      </w:pPr>
    </w:p>
    <w:p w:rsidR="00B6658A" w:rsidRPr="00B6658A" w:rsidRDefault="00B6658A" w:rsidP="00B6658A">
      <w:pPr>
        <w:autoSpaceDE w:val="0"/>
        <w:autoSpaceDN w:val="0"/>
        <w:adjustRightInd w:val="0"/>
        <w:spacing w:after="0" w:line="240" w:lineRule="auto"/>
        <w:jc w:val="both"/>
        <w:rPr>
          <w:rFonts w:cs="Garamond"/>
          <w:b/>
          <w:i/>
          <w:color w:val="000000"/>
        </w:rPr>
      </w:pPr>
      <w:r w:rsidRPr="00B6658A">
        <w:rPr>
          <w:rFonts w:cs="Garamond"/>
          <w:b/>
          <w:i/>
          <w:color w:val="000000"/>
        </w:rPr>
        <w:t>Facteurs d’influence sur la réalisation du projet</w:t>
      </w:r>
    </w:p>
    <w:p w:rsidR="00084149" w:rsidRDefault="00B6658A" w:rsidP="00B6658A">
      <w:pPr>
        <w:autoSpaceDE w:val="0"/>
        <w:autoSpaceDN w:val="0"/>
        <w:adjustRightInd w:val="0"/>
        <w:spacing w:after="0" w:line="240" w:lineRule="auto"/>
        <w:jc w:val="both"/>
        <w:rPr>
          <w:rFonts w:cs="Garamond"/>
          <w:color w:val="000000"/>
        </w:rPr>
      </w:pPr>
      <w:r w:rsidRPr="00B6658A">
        <w:rPr>
          <w:rFonts w:cs="Garamond"/>
          <w:color w:val="000000"/>
        </w:rPr>
        <w:t xml:space="preserve">Parmi les facteurs facilitateurs figurent </w:t>
      </w:r>
      <w:r w:rsidR="00084149">
        <w:rPr>
          <w:rFonts w:cs="Garamond"/>
          <w:color w:val="000000"/>
        </w:rPr>
        <w:t xml:space="preserve">l’adoption de la loi cadre portant Charte </w:t>
      </w:r>
      <w:r w:rsidR="00B400DD">
        <w:rPr>
          <w:rFonts w:cs="Garamond"/>
          <w:color w:val="000000"/>
        </w:rPr>
        <w:t xml:space="preserve">Nationale </w:t>
      </w:r>
      <w:r w:rsidR="00084149">
        <w:rPr>
          <w:rFonts w:cs="Garamond"/>
          <w:color w:val="000000"/>
        </w:rPr>
        <w:t xml:space="preserve">de l’Environnement et du Développement Durable ainsi que le chantier en cours de la régionalisation avancée. En outre, </w:t>
      </w:r>
      <w:r w:rsidRPr="00B6658A">
        <w:rPr>
          <w:rFonts w:cs="Garamond"/>
          <w:color w:val="000000"/>
        </w:rPr>
        <w:t xml:space="preserve">l’engagement du gouvernement, la prise de conscience des parties prenantes de la problématique </w:t>
      </w:r>
      <w:r w:rsidR="00084149">
        <w:rPr>
          <w:rFonts w:cs="Garamond"/>
          <w:color w:val="000000"/>
        </w:rPr>
        <w:t>d’intégration de l’environnement dans la planification stratégique locale ont concouru à créer les conditions favorables pour le déroulement des différentes phases du projet CB2</w:t>
      </w:r>
      <w:r w:rsidRPr="00B6658A">
        <w:rPr>
          <w:rFonts w:cs="Garamond"/>
          <w:color w:val="000000"/>
        </w:rPr>
        <w:t xml:space="preserve">. </w:t>
      </w:r>
    </w:p>
    <w:p w:rsidR="00A43A7C" w:rsidRDefault="00A43A7C" w:rsidP="00B6658A">
      <w:pPr>
        <w:autoSpaceDE w:val="0"/>
        <w:autoSpaceDN w:val="0"/>
        <w:adjustRightInd w:val="0"/>
        <w:spacing w:after="0" w:line="240" w:lineRule="auto"/>
        <w:jc w:val="both"/>
        <w:rPr>
          <w:rFonts w:cs="Garamond"/>
          <w:color w:val="000000"/>
        </w:rPr>
      </w:pPr>
    </w:p>
    <w:p w:rsidR="00525ACF" w:rsidRDefault="00B6658A" w:rsidP="00B6658A">
      <w:pPr>
        <w:autoSpaceDE w:val="0"/>
        <w:autoSpaceDN w:val="0"/>
        <w:adjustRightInd w:val="0"/>
        <w:spacing w:after="0" w:line="240" w:lineRule="auto"/>
        <w:jc w:val="both"/>
        <w:rPr>
          <w:rFonts w:cs="Garamond"/>
          <w:color w:val="000000"/>
        </w:rPr>
      </w:pPr>
      <w:r w:rsidRPr="00B6658A">
        <w:rPr>
          <w:rFonts w:cs="Garamond"/>
          <w:color w:val="000000"/>
        </w:rPr>
        <w:t xml:space="preserve">Par contre, plusieurs facteurs ont relativement empêché ou retardé le bon déroulement du projet. Il </w:t>
      </w:r>
      <w:r w:rsidR="00084149">
        <w:rPr>
          <w:rFonts w:cs="Garamond"/>
          <w:color w:val="000000"/>
        </w:rPr>
        <w:t>s’agit de la faible implication de la CN_INDH dans les structures de gestion et de décision du projet ce qui a empêché l’atteinte de la cible des 10 ILDH verdis</w:t>
      </w:r>
      <w:r w:rsidRPr="00B6658A">
        <w:rPr>
          <w:rFonts w:cs="Garamond"/>
          <w:color w:val="000000"/>
        </w:rPr>
        <w:t>.</w:t>
      </w:r>
      <w:r w:rsidR="00084149">
        <w:rPr>
          <w:rFonts w:cs="Garamond"/>
          <w:color w:val="000000"/>
        </w:rPr>
        <w:t xml:space="preserve"> Par ailleurs</w:t>
      </w:r>
      <w:r w:rsidR="00934BE4">
        <w:rPr>
          <w:rFonts w:cs="Garamond"/>
          <w:color w:val="000000"/>
        </w:rPr>
        <w:t>,</w:t>
      </w:r>
      <w:r w:rsidR="00084149">
        <w:rPr>
          <w:rFonts w:cs="Garamond"/>
          <w:color w:val="000000"/>
        </w:rPr>
        <w:t xml:space="preserve"> le changement des gouverneurs au niveau de la région de Tanger-Tétouan a survenu après le démarrage du projet, ce q</w:t>
      </w:r>
      <w:r w:rsidR="00934BE4">
        <w:rPr>
          <w:rFonts w:cs="Garamond"/>
          <w:color w:val="000000"/>
        </w:rPr>
        <w:t>ui a entraîné un retard dans le déploiement du projet au niveau de cette région. En outre, le ProDoc ne définissait pas la zone d’intervention du projet, il a fallu de ce fait élaborer les critères de choix des régions pilotes et des communes pilotes et valider ces choix auprès des parties prenantes au niveau central et local. Ce processus, nécessaire au déploiement du projet mai</w:t>
      </w:r>
      <w:r w:rsidR="00913FEC">
        <w:rPr>
          <w:rFonts w:cs="Garamond"/>
          <w:color w:val="000000"/>
        </w:rPr>
        <w:t>s</w:t>
      </w:r>
      <w:r w:rsidR="00934BE4">
        <w:rPr>
          <w:rFonts w:cs="Garamond"/>
          <w:color w:val="000000"/>
        </w:rPr>
        <w:t xml:space="preserve"> non prévu, a consommé beaucoup de temps. Cet état de fait traduit le retard pris sur l’atteinte des cibles correspondant au verdissement des SIC, au taux du budget alloué à l’environnement et à l’élaboration de la stratégie de généralisation.</w:t>
      </w:r>
    </w:p>
    <w:p w:rsidR="00F260FC" w:rsidRDefault="00F260FC" w:rsidP="00934BE4">
      <w:pPr>
        <w:autoSpaceDE w:val="0"/>
        <w:autoSpaceDN w:val="0"/>
        <w:adjustRightInd w:val="0"/>
        <w:spacing w:after="0" w:line="240" w:lineRule="auto"/>
        <w:jc w:val="both"/>
        <w:rPr>
          <w:rFonts w:cs="Garamond"/>
          <w:b/>
          <w:color w:val="000000"/>
          <w:u w:val="single"/>
        </w:rPr>
      </w:pPr>
    </w:p>
    <w:p w:rsidR="00934BE4" w:rsidRPr="00934BE4" w:rsidRDefault="00934BE4" w:rsidP="00934BE4">
      <w:pPr>
        <w:autoSpaceDE w:val="0"/>
        <w:autoSpaceDN w:val="0"/>
        <w:adjustRightInd w:val="0"/>
        <w:spacing w:after="0" w:line="240" w:lineRule="auto"/>
        <w:jc w:val="both"/>
        <w:rPr>
          <w:rFonts w:cs="Garamond"/>
          <w:b/>
          <w:color w:val="000000"/>
          <w:u w:val="single"/>
        </w:rPr>
      </w:pPr>
      <w:r>
        <w:rPr>
          <w:rFonts w:cs="Garamond"/>
          <w:b/>
          <w:color w:val="000000"/>
          <w:u w:val="single"/>
        </w:rPr>
        <w:t>Risques minimisé</w:t>
      </w:r>
      <w:r w:rsidRPr="00934BE4">
        <w:rPr>
          <w:rFonts w:cs="Garamond"/>
          <w:b/>
          <w:color w:val="000000"/>
          <w:u w:val="single"/>
        </w:rPr>
        <w:t>s</w:t>
      </w:r>
    </w:p>
    <w:p w:rsidR="00934BE4" w:rsidRDefault="00934BE4" w:rsidP="00934BE4">
      <w:pPr>
        <w:autoSpaceDE w:val="0"/>
        <w:autoSpaceDN w:val="0"/>
        <w:adjustRightInd w:val="0"/>
        <w:spacing w:after="0" w:line="240" w:lineRule="auto"/>
        <w:jc w:val="both"/>
        <w:rPr>
          <w:rFonts w:cs="Garamond"/>
          <w:color w:val="000000"/>
        </w:rPr>
      </w:pPr>
      <w:r>
        <w:rPr>
          <w:rFonts w:cs="Garamond"/>
          <w:color w:val="000000"/>
        </w:rPr>
        <w:t>L’U</w:t>
      </w:r>
      <w:r w:rsidRPr="00934BE4">
        <w:rPr>
          <w:rFonts w:cs="Garamond"/>
          <w:color w:val="000000"/>
        </w:rPr>
        <w:t xml:space="preserve">GP, à travers ses activités de suivi du projet, a su surmonter les </w:t>
      </w:r>
      <w:r>
        <w:rPr>
          <w:rFonts w:cs="Garamond"/>
          <w:color w:val="000000"/>
        </w:rPr>
        <w:t xml:space="preserve">risques </w:t>
      </w:r>
      <w:r w:rsidRPr="00934BE4">
        <w:rPr>
          <w:rFonts w:cs="Garamond"/>
          <w:color w:val="000000"/>
        </w:rPr>
        <w:t>et apporter les mesures correctives nécessaires avec les éclairage</w:t>
      </w:r>
      <w:r>
        <w:rPr>
          <w:rFonts w:cs="Garamond"/>
          <w:color w:val="000000"/>
        </w:rPr>
        <w:t>s du Comité de suivi et du CPP</w:t>
      </w:r>
      <w:r w:rsidRPr="00934BE4">
        <w:rPr>
          <w:rFonts w:cs="Garamond"/>
          <w:color w:val="000000"/>
        </w:rPr>
        <w:t xml:space="preserve">. Notons à titre d’exemple, </w:t>
      </w:r>
      <w:r w:rsidR="00D17773">
        <w:rPr>
          <w:rFonts w:cs="Garamond"/>
          <w:color w:val="000000"/>
        </w:rPr>
        <w:t xml:space="preserve">la </w:t>
      </w:r>
      <w:r w:rsidR="00D17773">
        <w:rPr>
          <w:rFonts w:cs="Garamond"/>
          <w:color w:val="000000"/>
        </w:rPr>
        <w:lastRenderedPageBreak/>
        <w:t>mise en place des GREET et l’implication des OREED pour répondre à un risque sur le manque d’appui au projet au niveau régional ; L’implication et l’appropriation des produits du projet par la DGCL en réponse au risque de difficulté de coopération entre le MDCE et le MI pour l’intégration de la démarche IEL.</w:t>
      </w:r>
    </w:p>
    <w:p w:rsidR="00A43A7C" w:rsidRDefault="00A43A7C" w:rsidP="00934BE4">
      <w:pPr>
        <w:autoSpaceDE w:val="0"/>
        <w:autoSpaceDN w:val="0"/>
        <w:adjustRightInd w:val="0"/>
        <w:spacing w:after="0" w:line="240" w:lineRule="auto"/>
        <w:jc w:val="both"/>
        <w:rPr>
          <w:rFonts w:cs="Garamond"/>
          <w:color w:val="000000"/>
        </w:rPr>
      </w:pPr>
    </w:p>
    <w:p w:rsidR="00D17773" w:rsidRDefault="00486F5D" w:rsidP="00934BE4">
      <w:pPr>
        <w:autoSpaceDE w:val="0"/>
        <w:autoSpaceDN w:val="0"/>
        <w:adjustRightInd w:val="0"/>
        <w:spacing w:after="0" w:line="240" w:lineRule="auto"/>
        <w:jc w:val="both"/>
        <w:rPr>
          <w:rFonts w:cs="Garamond"/>
          <w:color w:val="000000"/>
        </w:rPr>
      </w:pPr>
      <w:r>
        <w:rPr>
          <w:rFonts w:cs="Garamond"/>
          <w:color w:val="000000"/>
        </w:rPr>
        <w:t>Seuls deux risques peuvent être considérés comme étant restés au même degré d’acuité que lors de la phase ProDoc il s’agit de :</w:t>
      </w:r>
    </w:p>
    <w:p w:rsidR="00D17773" w:rsidRDefault="00D17773" w:rsidP="00934BE4">
      <w:pPr>
        <w:autoSpaceDE w:val="0"/>
        <w:autoSpaceDN w:val="0"/>
        <w:adjustRightInd w:val="0"/>
        <w:spacing w:after="0" w:line="240" w:lineRule="auto"/>
        <w:jc w:val="both"/>
        <w:rPr>
          <w:rFonts w:cs="Garamond"/>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1260"/>
        <w:gridCol w:w="4680"/>
      </w:tblGrid>
      <w:tr w:rsidR="00D17773" w:rsidRPr="00D17773" w:rsidTr="00461FF2">
        <w:tc>
          <w:tcPr>
            <w:tcW w:w="3168" w:type="dxa"/>
          </w:tcPr>
          <w:p w:rsidR="00D17773" w:rsidRPr="00D17773" w:rsidRDefault="005D4497" w:rsidP="00D17773">
            <w:pPr>
              <w:spacing w:after="0" w:line="240" w:lineRule="auto"/>
              <w:rPr>
                <w:rFonts w:eastAsia="Times New Roman" w:cs="Times New Roman"/>
              </w:rPr>
            </w:pPr>
            <w:r w:rsidRPr="00E915BA">
              <w:rPr>
                <w:rFonts w:eastAsia="Times New Roman" w:cs="Times New Roman"/>
              </w:rPr>
              <w:t>1.</w:t>
            </w:r>
            <w:r w:rsidRPr="00D17773">
              <w:rPr>
                <w:rFonts w:eastAsia="Times New Roman" w:cs="Times New Roman"/>
              </w:rPr>
              <w:t xml:space="preserve"> Le</w:t>
            </w:r>
            <w:r w:rsidR="00D17773" w:rsidRPr="00D17773">
              <w:rPr>
                <w:rFonts w:eastAsia="Times New Roman" w:cs="Times New Roman"/>
              </w:rPr>
              <w:t xml:space="preserve"> CPDH et le CLDH refusent d’utiliser les procédures développées par le projet pour la planification locale et provinciale</w:t>
            </w:r>
          </w:p>
        </w:tc>
        <w:tc>
          <w:tcPr>
            <w:tcW w:w="1260" w:type="dxa"/>
          </w:tcPr>
          <w:p w:rsidR="00D17773" w:rsidRPr="00D17773" w:rsidRDefault="00D17773" w:rsidP="00D17773">
            <w:pPr>
              <w:spacing w:after="0" w:line="240" w:lineRule="auto"/>
              <w:jc w:val="both"/>
              <w:rPr>
                <w:rFonts w:eastAsia="Times New Roman" w:cs="Times New Roman"/>
              </w:rPr>
            </w:pPr>
            <w:r w:rsidRPr="00D17773">
              <w:rPr>
                <w:rFonts w:eastAsia="Times New Roman" w:cs="Times New Roman"/>
              </w:rPr>
              <w:t>Standard</w:t>
            </w:r>
          </w:p>
        </w:tc>
        <w:tc>
          <w:tcPr>
            <w:tcW w:w="4680" w:type="dxa"/>
          </w:tcPr>
          <w:p w:rsidR="00D17773" w:rsidRDefault="00D17773" w:rsidP="00D17773">
            <w:pPr>
              <w:spacing w:after="0" w:line="240" w:lineRule="auto"/>
              <w:jc w:val="both"/>
              <w:rPr>
                <w:rFonts w:eastAsia="Times New Roman" w:cs="Times New Roman"/>
              </w:rPr>
            </w:pPr>
            <w:r w:rsidRPr="00D17773">
              <w:rPr>
                <w:rFonts w:eastAsia="Times New Roman" w:cs="Times New Roman"/>
              </w:rPr>
              <w:t>Les nouvelles règles et lignes directrices de la planification au niveau local et provincial sont en cours d’intégration dans les efforts nationaux dans le cadre de l’INDH et d’autres programmes nationaux et seront par conséquent soutenues par les parties prenantes concernées.</w:t>
            </w:r>
          </w:p>
          <w:p w:rsidR="00A43A7C" w:rsidRPr="00D17773" w:rsidRDefault="00A43A7C" w:rsidP="00D17773">
            <w:pPr>
              <w:spacing w:after="0" w:line="240" w:lineRule="auto"/>
              <w:jc w:val="both"/>
              <w:rPr>
                <w:rFonts w:eastAsia="Times New Roman" w:cs="Times New Roman"/>
              </w:rPr>
            </w:pPr>
          </w:p>
        </w:tc>
      </w:tr>
      <w:tr w:rsidR="00D17773" w:rsidRPr="00D17773" w:rsidTr="00461FF2">
        <w:tc>
          <w:tcPr>
            <w:tcW w:w="3168" w:type="dxa"/>
          </w:tcPr>
          <w:p w:rsidR="00D17773" w:rsidRPr="00D17773" w:rsidRDefault="005D4497" w:rsidP="00D17773">
            <w:pPr>
              <w:spacing w:after="0" w:line="240" w:lineRule="auto"/>
              <w:rPr>
                <w:rFonts w:eastAsia="Times New Roman" w:cs="Times New Roman"/>
              </w:rPr>
            </w:pPr>
            <w:r w:rsidRPr="00E915BA">
              <w:rPr>
                <w:rFonts w:eastAsia="Times New Roman" w:cs="Times New Roman"/>
              </w:rPr>
              <w:t>2.</w:t>
            </w:r>
            <w:r w:rsidRPr="00D17773">
              <w:rPr>
                <w:rFonts w:eastAsia="Times New Roman" w:cs="Times New Roman"/>
              </w:rPr>
              <w:t xml:space="preserve"> L’INDH</w:t>
            </w:r>
            <w:r w:rsidR="00D17773" w:rsidRPr="00D17773">
              <w:rPr>
                <w:rFonts w:eastAsia="Times New Roman" w:cs="Times New Roman"/>
              </w:rPr>
              <w:t xml:space="preserve"> et le processus de planification stratégique locale n’adhèrent pas aux outils proposes par le projet qui échoue à influer sur le processus de décentralisation au Maroc </w:t>
            </w:r>
          </w:p>
        </w:tc>
        <w:tc>
          <w:tcPr>
            <w:tcW w:w="1260" w:type="dxa"/>
          </w:tcPr>
          <w:p w:rsidR="00D17773" w:rsidRPr="00D17773" w:rsidRDefault="00D17773" w:rsidP="00D17773">
            <w:pPr>
              <w:spacing w:after="0" w:line="240" w:lineRule="auto"/>
              <w:jc w:val="both"/>
              <w:rPr>
                <w:rFonts w:eastAsia="Times New Roman" w:cs="Times New Roman"/>
              </w:rPr>
            </w:pPr>
            <w:r w:rsidRPr="00D17773">
              <w:rPr>
                <w:rFonts w:eastAsia="Times New Roman" w:cs="Times New Roman"/>
              </w:rPr>
              <w:t>Standard</w:t>
            </w:r>
          </w:p>
        </w:tc>
        <w:tc>
          <w:tcPr>
            <w:tcW w:w="4680" w:type="dxa"/>
          </w:tcPr>
          <w:p w:rsidR="00D17773" w:rsidRDefault="00D17773" w:rsidP="00D17773">
            <w:pPr>
              <w:spacing w:after="0" w:line="240" w:lineRule="auto"/>
              <w:jc w:val="both"/>
              <w:rPr>
                <w:rFonts w:eastAsia="Times New Roman" w:cs="Times New Roman"/>
              </w:rPr>
            </w:pPr>
            <w:r w:rsidRPr="00D17773">
              <w:rPr>
                <w:rFonts w:eastAsia="Times New Roman" w:cs="Times New Roman"/>
              </w:rPr>
              <w:t>Les partenariats envisagés dans le cadre du projet entre le Ministère de l’Intérieur, l’ADS, le SEEE et le PNUD garantiront la réussite des résultats du projet et la réalisation de ses objectifs d’intégration des questions d’environnement mondial dans le processus de décentralisation.</w:t>
            </w:r>
          </w:p>
          <w:p w:rsidR="00A43A7C" w:rsidRPr="00D17773" w:rsidRDefault="00A43A7C" w:rsidP="00D17773">
            <w:pPr>
              <w:spacing w:after="0" w:line="240" w:lineRule="auto"/>
              <w:jc w:val="both"/>
              <w:rPr>
                <w:rFonts w:eastAsia="Times New Roman" w:cs="Times New Roman"/>
              </w:rPr>
            </w:pPr>
          </w:p>
        </w:tc>
      </w:tr>
    </w:tbl>
    <w:p w:rsidR="00525ACF" w:rsidRDefault="00525ACF" w:rsidP="00865064">
      <w:pPr>
        <w:autoSpaceDE w:val="0"/>
        <w:autoSpaceDN w:val="0"/>
        <w:adjustRightInd w:val="0"/>
        <w:spacing w:after="0" w:line="240" w:lineRule="auto"/>
        <w:jc w:val="both"/>
        <w:rPr>
          <w:rFonts w:cs="Garamond"/>
          <w:color w:val="000000"/>
        </w:rPr>
      </w:pPr>
    </w:p>
    <w:p w:rsidR="00486F5D" w:rsidRDefault="00486F5D" w:rsidP="00865064">
      <w:pPr>
        <w:autoSpaceDE w:val="0"/>
        <w:autoSpaceDN w:val="0"/>
        <w:adjustRightInd w:val="0"/>
        <w:spacing w:after="0" w:line="240" w:lineRule="auto"/>
        <w:jc w:val="both"/>
        <w:rPr>
          <w:rFonts w:cs="Garamond"/>
          <w:color w:val="000000"/>
        </w:rPr>
      </w:pPr>
      <w:r>
        <w:rPr>
          <w:rFonts w:cs="Garamond"/>
          <w:color w:val="000000"/>
        </w:rPr>
        <w:t>L’UGP avec l’appui du CPP a proposé d’organiser un séminaire destiné aux dirigeants de la CN_INDH pour présenter les résultats du projet CB2 et les sensibiliser pour avoir leur appui en vue de travailler sur les ILDH et y intégrer la démarche IEL. Cette action est retenue pour l’exercice 2015.</w:t>
      </w:r>
    </w:p>
    <w:p w:rsidR="00A43A7C" w:rsidRDefault="00A43A7C" w:rsidP="00865064">
      <w:pPr>
        <w:autoSpaceDE w:val="0"/>
        <w:autoSpaceDN w:val="0"/>
        <w:adjustRightInd w:val="0"/>
        <w:spacing w:after="0" w:line="240" w:lineRule="auto"/>
        <w:jc w:val="both"/>
        <w:rPr>
          <w:rFonts w:cs="Garamond"/>
          <w:color w:val="000000"/>
        </w:rPr>
      </w:pPr>
    </w:p>
    <w:p w:rsidR="00A43A7C" w:rsidRDefault="00486F5D" w:rsidP="00865064">
      <w:pPr>
        <w:autoSpaceDE w:val="0"/>
        <w:autoSpaceDN w:val="0"/>
        <w:adjustRightInd w:val="0"/>
        <w:spacing w:after="0" w:line="240" w:lineRule="auto"/>
        <w:jc w:val="both"/>
        <w:rPr>
          <w:rFonts w:cs="Garamond"/>
          <w:color w:val="000000"/>
        </w:rPr>
      </w:pPr>
      <w:r>
        <w:rPr>
          <w:rFonts w:cs="Garamond"/>
          <w:color w:val="000000"/>
        </w:rPr>
        <w:t xml:space="preserve">Rappelons ici, que l’INDH a développé </w:t>
      </w:r>
      <w:r w:rsidR="00913FEC">
        <w:rPr>
          <w:rFonts w:cs="Garamond"/>
          <w:color w:val="000000"/>
        </w:rPr>
        <w:t xml:space="preserve">un </w:t>
      </w:r>
      <w:r>
        <w:rPr>
          <w:rFonts w:cs="Garamond"/>
          <w:color w:val="000000"/>
        </w:rPr>
        <w:t xml:space="preserve">guide de bonnes pratiques environnementales et sociales dont le but est i) d’effectuer le choix et le montage des projets financés dans le cadre de l’INDH conformément à la réglementation environnementale nationale et ii) d’assurer le suivi des mesures d’atténuation identifiées pour une certaine catégorie de projets. </w:t>
      </w:r>
      <w:r w:rsidRPr="00B400DD">
        <w:rPr>
          <w:rFonts w:cs="Garamond"/>
          <w:b/>
          <w:color w:val="000000"/>
          <w:u w:val="single"/>
        </w:rPr>
        <w:t xml:space="preserve">La démarche adoptée par la CN_INDH est une démarche de gestion environnementale par projet alors que celle introduite par le projet CB2 correspond plutôt à introduire </w:t>
      </w:r>
      <w:r w:rsidR="00E915BA" w:rsidRPr="00B400DD">
        <w:rPr>
          <w:rFonts w:cs="Garamond"/>
          <w:b/>
          <w:color w:val="000000"/>
          <w:u w:val="single"/>
        </w:rPr>
        <w:t>la gestion environnementale plus en amont dans le processus de planification.</w:t>
      </w:r>
    </w:p>
    <w:p w:rsidR="00A43A7C" w:rsidRDefault="00A43A7C" w:rsidP="00865064">
      <w:pPr>
        <w:autoSpaceDE w:val="0"/>
        <w:autoSpaceDN w:val="0"/>
        <w:adjustRightInd w:val="0"/>
        <w:spacing w:after="0" w:line="240" w:lineRule="auto"/>
        <w:jc w:val="both"/>
        <w:rPr>
          <w:rFonts w:cs="Garamond"/>
          <w:color w:val="000000"/>
        </w:rPr>
      </w:pPr>
    </w:p>
    <w:p w:rsidR="00486F5D" w:rsidRDefault="00E915BA" w:rsidP="00865064">
      <w:pPr>
        <w:autoSpaceDE w:val="0"/>
        <w:autoSpaceDN w:val="0"/>
        <w:adjustRightInd w:val="0"/>
        <w:spacing w:after="0" w:line="240" w:lineRule="auto"/>
        <w:jc w:val="both"/>
        <w:rPr>
          <w:rFonts w:cs="Garamond"/>
          <w:color w:val="000000"/>
        </w:rPr>
      </w:pPr>
      <w:r>
        <w:rPr>
          <w:rFonts w:cs="Garamond"/>
          <w:color w:val="000000"/>
        </w:rPr>
        <w:t xml:space="preserve">De ce fait, la cible pour le projet CB2 est représentée par l’Initiative Locale du Développement Humain qui est l’outil de planification stratégique de l’INDH. Cet outil est élaboré de manière participative et il est validé en premier lieu à l’échelle locale par le Comité Local de développement Humain (CLDH) et ensuite par le Comité Provincial de Développement Humain (CPDH). </w:t>
      </w:r>
      <w:r w:rsidR="00913FEC">
        <w:rPr>
          <w:rFonts w:cs="Garamond"/>
          <w:color w:val="000000"/>
        </w:rPr>
        <w:t>Ces deux organes de gouvernance</w:t>
      </w:r>
      <w:r>
        <w:rPr>
          <w:rFonts w:cs="Garamond"/>
          <w:color w:val="000000"/>
        </w:rPr>
        <w:t xml:space="preserve"> (à composition tripartite : élus-associations-services extérieurs) sont absents dans le dispositif de </w:t>
      </w:r>
      <w:r w:rsidR="00913FEC">
        <w:rPr>
          <w:rFonts w:cs="Garamond"/>
          <w:color w:val="000000"/>
        </w:rPr>
        <w:t>gestion mis en place localement, c</w:t>
      </w:r>
      <w:r>
        <w:rPr>
          <w:rFonts w:cs="Garamond"/>
          <w:color w:val="000000"/>
        </w:rPr>
        <w:t>e qui expliquerait l’absence d’ILDH verdis dans les résultats du projet CB2.</w:t>
      </w:r>
    </w:p>
    <w:p w:rsidR="00F23312" w:rsidRDefault="00F23312" w:rsidP="00865064">
      <w:pPr>
        <w:autoSpaceDE w:val="0"/>
        <w:autoSpaceDN w:val="0"/>
        <w:adjustRightInd w:val="0"/>
        <w:spacing w:after="0" w:line="240" w:lineRule="auto"/>
        <w:jc w:val="both"/>
        <w:rPr>
          <w:rFonts w:cs="Garamond"/>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2126"/>
      </w:tblGrid>
      <w:tr w:rsidR="00F23312" w:rsidRPr="002C33BB" w:rsidTr="00461FF2">
        <w:trPr>
          <w:trHeight w:val="101"/>
        </w:trPr>
        <w:tc>
          <w:tcPr>
            <w:tcW w:w="3652" w:type="dxa"/>
          </w:tcPr>
          <w:p w:rsidR="00F23312" w:rsidRPr="002C33BB" w:rsidRDefault="00F23312" w:rsidP="00461FF2">
            <w:pPr>
              <w:autoSpaceDE w:val="0"/>
              <w:autoSpaceDN w:val="0"/>
              <w:adjustRightInd w:val="0"/>
              <w:spacing w:after="0" w:line="240" w:lineRule="auto"/>
              <w:rPr>
                <w:rFonts w:cs="Garamond"/>
                <w:color w:val="000000"/>
              </w:rPr>
            </w:pPr>
            <w:r w:rsidRPr="002C33BB">
              <w:rPr>
                <w:rFonts w:cs="Garamond"/>
                <w:color w:val="000000"/>
              </w:rPr>
              <w:t xml:space="preserve">Efficacité des résultats </w:t>
            </w:r>
          </w:p>
        </w:tc>
        <w:tc>
          <w:tcPr>
            <w:tcW w:w="2126" w:type="dxa"/>
          </w:tcPr>
          <w:p w:rsidR="00F23312" w:rsidRPr="002C33BB" w:rsidRDefault="00F23312" w:rsidP="00461FF2">
            <w:pPr>
              <w:autoSpaceDE w:val="0"/>
              <w:autoSpaceDN w:val="0"/>
              <w:adjustRightInd w:val="0"/>
              <w:spacing w:after="0" w:line="240" w:lineRule="auto"/>
              <w:rPr>
                <w:rFonts w:cs="Garamond"/>
                <w:color w:val="000000"/>
              </w:rPr>
            </w:pPr>
            <w:r w:rsidRPr="002C33BB">
              <w:rPr>
                <w:rFonts w:cs="Garamond"/>
                <w:b/>
                <w:bCs/>
                <w:color w:val="000000"/>
              </w:rPr>
              <w:t xml:space="preserve">Satisfaisante (S) </w:t>
            </w:r>
          </w:p>
        </w:tc>
      </w:tr>
      <w:tr w:rsidR="00F23312" w:rsidRPr="002C33BB" w:rsidTr="00461FF2">
        <w:trPr>
          <w:trHeight w:val="101"/>
        </w:trPr>
        <w:tc>
          <w:tcPr>
            <w:tcW w:w="3652" w:type="dxa"/>
          </w:tcPr>
          <w:p w:rsidR="00F23312" w:rsidRPr="002C33BB" w:rsidRDefault="00F23312" w:rsidP="00461FF2">
            <w:pPr>
              <w:autoSpaceDE w:val="0"/>
              <w:autoSpaceDN w:val="0"/>
              <w:adjustRightInd w:val="0"/>
              <w:spacing w:after="0" w:line="240" w:lineRule="auto"/>
              <w:rPr>
                <w:rFonts w:cs="Garamond"/>
                <w:color w:val="000000"/>
              </w:rPr>
            </w:pPr>
            <w:r w:rsidRPr="002C33BB">
              <w:rPr>
                <w:rFonts w:cs="Garamond"/>
                <w:color w:val="000000"/>
              </w:rPr>
              <w:t xml:space="preserve">Qualité globale des résultats du projet </w:t>
            </w:r>
          </w:p>
        </w:tc>
        <w:tc>
          <w:tcPr>
            <w:tcW w:w="2126" w:type="dxa"/>
          </w:tcPr>
          <w:p w:rsidR="00F23312" w:rsidRPr="002C33BB" w:rsidRDefault="00F23312" w:rsidP="00461FF2">
            <w:pPr>
              <w:autoSpaceDE w:val="0"/>
              <w:autoSpaceDN w:val="0"/>
              <w:adjustRightInd w:val="0"/>
              <w:spacing w:after="0" w:line="240" w:lineRule="auto"/>
              <w:rPr>
                <w:rFonts w:cs="Garamond"/>
                <w:color w:val="000000"/>
              </w:rPr>
            </w:pPr>
            <w:r w:rsidRPr="002C33BB">
              <w:rPr>
                <w:rFonts w:cs="Garamond"/>
                <w:b/>
                <w:bCs/>
                <w:color w:val="000000"/>
              </w:rPr>
              <w:t xml:space="preserve">Satisfaisante (S) </w:t>
            </w:r>
          </w:p>
        </w:tc>
      </w:tr>
    </w:tbl>
    <w:p w:rsidR="00486F5D" w:rsidRDefault="00486F5D" w:rsidP="00865064">
      <w:pPr>
        <w:autoSpaceDE w:val="0"/>
        <w:autoSpaceDN w:val="0"/>
        <w:adjustRightInd w:val="0"/>
        <w:spacing w:after="0" w:line="240" w:lineRule="auto"/>
        <w:jc w:val="both"/>
        <w:rPr>
          <w:rFonts w:cs="Garamond"/>
          <w:color w:val="000000"/>
        </w:rPr>
      </w:pPr>
    </w:p>
    <w:p w:rsidR="00F23312" w:rsidRPr="00F23312" w:rsidRDefault="00F23312" w:rsidP="00F23312">
      <w:pPr>
        <w:autoSpaceDE w:val="0"/>
        <w:autoSpaceDN w:val="0"/>
        <w:adjustRightInd w:val="0"/>
        <w:spacing w:after="0" w:line="240" w:lineRule="auto"/>
        <w:jc w:val="both"/>
        <w:rPr>
          <w:rFonts w:cs="Garamond"/>
          <w:b/>
          <w:color w:val="000000"/>
          <w:u w:val="single"/>
        </w:rPr>
      </w:pPr>
      <w:r w:rsidRPr="00F23312">
        <w:rPr>
          <w:rFonts w:cs="Garamond"/>
          <w:b/>
          <w:color w:val="000000"/>
          <w:u w:val="single"/>
        </w:rPr>
        <w:t>Leçons apprises</w:t>
      </w:r>
    </w:p>
    <w:p w:rsidR="00F23312" w:rsidRDefault="00F23312" w:rsidP="00F23312">
      <w:pPr>
        <w:autoSpaceDE w:val="0"/>
        <w:autoSpaceDN w:val="0"/>
        <w:adjustRightInd w:val="0"/>
        <w:spacing w:after="0" w:line="240" w:lineRule="auto"/>
        <w:jc w:val="both"/>
        <w:rPr>
          <w:rFonts w:cs="Garamond"/>
          <w:color w:val="000000"/>
        </w:rPr>
      </w:pPr>
      <w:r w:rsidRPr="00F23312">
        <w:rPr>
          <w:rFonts w:cs="Garamond"/>
          <w:color w:val="000000"/>
        </w:rPr>
        <w:t xml:space="preserve">Les leçons apprises dans le cadre du projet </w:t>
      </w:r>
      <w:r w:rsidR="00D43324">
        <w:rPr>
          <w:rFonts w:cs="Garamond"/>
          <w:color w:val="000000"/>
        </w:rPr>
        <w:t>CB2</w:t>
      </w:r>
      <w:r w:rsidRPr="00F23312">
        <w:rPr>
          <w:rFonts w:cs="Garamond"/>
          <w:color w:val="000000"/>
        </w:rPr>
        <w:t xml:space="preserve"> et qui pourraient servir à des projets similaires sont présentées ci-après :</w:t>
      </w:r>
    </w:p>
    <w:p w:rsidR="00F23312" w:rsidRDefault="00F23312" w:rsidP="00F23312">
      <w:pPr>
        <w:autoSpaceDE w:val="0"/>
        <w:autoSpaceDN w:val="0"/>
        <w:adjustRightInd w:val="0"/>
        <w:spacing w:after="0" w:line="240" w:lineRule="auto"/>
        <w:jc w:val="both"/>
        <w:rPr>
          <w:rFonts w:cs="Garamond"/>
          <w:color w:val="000000"/>
        </w:rPr>
      </w:pPr>
    </w:p>
    <w:p w:rsidR="00737591" w:rsidRDefault="00737591" w:rsidP="00F23312">
      <w:pPr>
        <w:pStyle w:val="Paragraphedeliste"/>
        <w:numPr>
          <w:ilvl w:val="0"/>
          <w:numId w:val="4"/>
        </w:numPr>
        <w:autoSpaceDE w:val="0"/>
        <w:autoSpaceDN w:val="0"/>
        <w:adjustRightInd w:val="0"/>
        <w:spacing w:after="0" w:line="240" w:lineRule="auto"/>
        <w:jc w:val="both"/>
        <w:rPr>
          <w:rFonts w:cs="Garamond"/>
          <w:color w:val="000000"/>
        </w:rPr>
      </w:pPr>
      <w:r>
        <w:rPr>
          <w:rFonts w:cs="Garamond"/>
          <w:color w:val="000000"/>
        </w:rPr>
        <w:lastRenderedPageBreak/>
        <w:t>Les groupes cibles, pour la réussite de l’intégration de la démarche IEL aux niveaux central et local, sont identifiés. Leur implication nécessite de la part de l’UGP de communiquer à tous les niveaux sur les objectifs, les concepts et la démarche du projet. En effet, ces éléments apportent beaucoup de nouveautés dans la planification stratégique locale et doivent de ce fait être explicités aux groupes cibles pour qu’ils se les approprient dès les premières phases du projet.</w:t>
      </w:r>
    </w:p>
    <w:p w:rsidR="00F23312" w:rsidRDefault="00737591" w:rsidP="00F23312">
      <w:pPr>
        <w:pStyle w:val="Paragraphedeliste"/>
        <w:numPr>
          <w:ilvl w:val="0"/>
          <w:numId w:val="4"/>
        </w:numPr>
        <w:autoSpaceDE w:val="0"/>
        <w:autoSpaceDN w:val="0"/>
        <w:adjustRightInd w:val="0"/>
        <w:spacing w:after="0" w:line="240" w:lineRule="auto"/>
        <w:jc w:val="both"/>
        <w:rPr>
          <w:rFonts w:cs="Garamond"/>
          <w:color w:val="000000"/>
        </w:rPr>
      </w:pPr>
      <w:r>
        <w:rPr>
          <w:rFonts w:cs="Garamond"/>
          <w:color w:val="000000"/>
        </w:rPr>
        <w:t xml:space="preserve"> La nécessité de mettre en place des points focaux au niveau régional pour assurer le relai et une présence de proximité auprès des acteurs locaux.</w:t>
      </w:r>
    </w:p>
    <w:p w:rsidR="00737591" w:rsidRDefault="00737591" w:rsidP="00F23312">
      <w:pPr>
        <w:pStyle w:val="Paragraphedeliste"/>
        <w:numPr>
          <w:ilvl w:val="0"/>
          <w:numId w:val="4"/>
        </w:numPr>
        <w:autoSpaceDE w:val="0"/>
        <w:autoSpaceDN w:val="0"/>
        <w:adjustRightInd w:val="0"/>
        <w:spacing w:after="0" w:line="240" w:lineRule="auto"/>
        <w:jc w:val="both"/>
        <w:rPr>
          <w:rFonts w:cs="Garamond"/>
          <w:color w:val="000000"/>
        </w:rPr>
      </w:pPr>
      <w:r>
        <w:rPr>
          <w:rFonts w:cs="Garamond"/>
          <w:color w:val="000000"/>
        </w:rPr>
        <w:t xml:space="preserve">Les sessions de formation sur les outils méthodologiques développés doivent nécessairement comprendre des ateliers d’application sur des cas concrets afin de faciliter </w:t>
      </w:r>
      <w:r w:rsidR="007604CD">
        <w:rPr>
          <w:rFonts w:cs="Garamond"/>
          <w:color w:val="000000"/>
        </w:rPr>
        <w:t>la compréhension de la démarche et d’acquérir l’adhésion des groupes cibles.</w:t>
      </w:r>
    </w:p>
    <w:p w:rsidR="007604CD" w:rsidRDefault="007604CD" w:rsidP="00F23312">
      <w:pPr>
        <w:pStyle w:val="Paragraphedeliste"/>
        <w:numPr>
          <w:ilvl w:val="0"/>
          <w:numId w:val="4"/>
        </w:numPr>
        <w:autoSpaceDE w:val="0"/>
        <w:autoSpaceDN w:val="0"/>
        <w:adjustRightInd w:val="0"/>
        <w:spacing w:after="0" w:line="240" w:lineRule="auto"/>
        <w:jc w:val="both"/>
        <w:rPr>
          <w:rFonts w:cs="Garamond"/>
          <w:color w:val="000000"/>
        </w:rPr>
      </w:pPr>
      <w:r>
        <w:rPr>
          <w:rFonts w:cs="Garamond"/>
          <w:color w:val="000000"/>
        </w:rPr>
        <w:t>L’appui et la synergie avec les autres projets et ini</w:t>
      </w:r>
      <w:r w:rsidR="00CB2C41">
        <w:rPr>
          <w:rFonts w:cs="Garamond"/>
          <w:color w:val="000000"/>
        </w:rPr>
        <w:t>tiatives dans le domaine du</w:t>
      </w:r>
      <w:r>
        <w:rPr>
          <w:rFonts w:cs="Garamond"/>
          <w:color w:val="000000"/>
        </w:rPr>
        <w:t xml:space="preserve"> renforcement des capacités </w:t>
      </w:r>
      <w:r w:rsidR="00CB2C41">
        <w:rPr>
          <w:rFonts w:cs="Garamond"/>
          <w:color w:val="000000"/>
        </w:rPr>
        <w:t>(RC) ont</w:t>
      </w:r>
      <w:r>
        <w:rPr>
          <w:rFonts w:cs="Garamond"/>
          <w:color w:val="000000"/>
        </w:rPr>
        <w:t xml:space="preserve"> montré </w:t>
      </w:r>
      <w:r w:rsidR="00CB2C41">
        <w:rPr>
          <w:rFonts w:cs="Garamond"/>
          <w:color w:val="000000"/>
        </w:rPr>
        <w:t>leur</w:t>
      </w:r>
      <w:r>
        <w:rPr>
          <w:rFonts w:cs="Garamond"/>
          <w:color w:val="000000"/>
        </w:rPr>
        <w:t xml:space="preserve"> efficacité dans le cadre de ce projet. En effet, le projet ACCN et le projet ADAGE</w:t>
      </w:r>
      <w:r w:rsidR="00CB2C41">
        <w:rPr>
          <w:rFonts w:cs="Garamond"/>
          <w:color w:val="000000"/>
        </w:rPr>
        <w:t xml:space="preserve"> ont catalysé les actions de RC soit en participant à l’amélioration des outils méthodologique soit en appuyant leur large diffusion et utilisation auprès des acteurs locaux.</w:t>
      </w:r>
    </w:p>
    <w:p w:rsidR="00CB2C41" w:rsidRPr="00F23312" w:rsidRDefault="00CB2C41" w:rsidP="00F23312">
      <w:pPr>
        <w:pStyle w:val="Paragraphedeliste"/>
        <w:numPr>
          <w:ilvl w:val="0"/>
          <w:numId w:val="4"/>
        </w:numPr>
        <w:autoSpaceDE w:val="0"/>
        <w:autoSpaceDN w:val="0"/>
        <w:adjustRightInd w:val="0"/>
        <w:spacing w:after="0" w:line="240" w:lineRule="auto"/>
        <w:jc w:val="both"/>
        <w:rPr>
          <w:rFonts w:cs="Garamond"/>
          <w:color w:val="000000"/>
        </w:rPr>
      </w:pPr>
      <w:r>
        <w:rPr>
          <w:rFonts w:cs="Garamond"/>
          <w:color w:val="000000"/>
        </w:rPr>
        <w:t xml:space="preserve">L’évolution du contexte pays doit être prise en compte durant les différentes phases du projet pour intégrer les orientations qui en émanent dans la cadre logique du projet. Ces orientations peuvent impacter positivement et de manière </w:t>
      </w:r>
      <w:r w:rsidR="00B02CD9">
        <w:rPr>
          <w:rFonts w:cs="Garamond"/>
          <w:color w:val="000000"/>
        </w:rPr>
        <w:t xml:space="preserve">significative </w:t>
      </w:r>
      <w:r>
        <w:rPr>
          <w:rFonts w:cs="Garamond"/>
          <w:color w:val="000000"/>
        </w:rPr>
        <w:t>les résultats du projet.</w:t>
      </w:r>
    </w:p>
    <w:p w:rsidR="00486F5D" w:rsidRDefault="00486F5D" w:rsidP="00865064">
      <w:pPr>
        <w:autoSpaceDE w:val="0"/>
        <w:autoSpaceDN w:val="0"/>
        <w:adjustRightInd w:val="0"/>
        <w:spacing w:after="0" w:line="240" w:lineRule="auto"/>
        <w:jc w:val="both"/>
        <w:rPr>
          <w:rFonts w:cs="Garamond"/>
          <w:color w:val="000000"/>
        </w:rPr>
      </w:pPr>
    </w:p>
    <w:p w:rsidR="00AD1A5C" w:rsidRDefault="00B02CD9" w:rsidP="00AD1A5C">
      <w:pPr>
        <w:autoSpaceDE w:val="0"/>
        <w:autoSpaceDN w:val="0"/>
        <w:adjustRightInd w:val="0"/>
        <w:spacing w:after="0" w:line="240" w:lineRule="auto"/>
        <w:rPr>
          <w:rFonts w:cs="ACaslonPro-Regular"/>
          <w:b/>
          <w:color w:val="000000"/>
          <w:u w:val="single"/>
        </w:rPr>
      </w:pPr>
      <w:r w:rsidRPr="00B02CD9">
        <w:rPr>
          <w:rFonts w:cs="ACaslonPro-Regular"/>
          <w:b/>
          <w:color w:val="000000"/>
          <w:u w:val="single"/>
        </w:rPr>
        <w:t>E</w:t>
      </w:r>
      <w:r w:rsidR="00AD1A5C" w:rsidRPr="00B02CD9">
        <w:rPr>
          <w:rFonts w:cs="ACaslonPro-Regular"/>
          <w:b/>
          <w:color w:val="000000"/>
          <w:u w:val="single"/>
        </w:rPr>
        <w:t>fficience</w:t>
      </w:r>
    </w:p>
    <w:p w:rsidR="00B02CD9" w:rsidRDefault="00B02CD9" w:rsidP="00AD1A5C">
      <w:pPr>
        <w:autoSpaceDE w:val="0"/>
        <w:autoSpaceDN w:val="0"/>
        <w:adjustRightInd w:val="0"/>
        <w:spacing w:after="0" w:line="240" w:lineRule="auto"/>
        <w:rPr>
          <w:rFonts w:cs="ACaslonPro-Regular"/>
          <w:b/>
          <w:color w:val="000000"/>
          <w:u w:val="single"/>
        </w:rPr>
      </w:pPr>
    </w:p>
    <w:p w:rsidR="003F2DF3" w:rsidRDefault="00B02CD9" w:rsidP="003F2DF3">
      <w:pPr>
        <w:autoSpaceDE w:val="0"/>
        <w:autoSpaceDN w:val="0"/>
        <w:adjustRightInd w:val="0"/>
        <w:spacing w:after="0" w:line="240" w:lineRule="auto"/>
        <w:jc w:val="both"/>
        <w:rPr>
          <w:rFonts w:cs="Garamond"/>
          <w:color w:val="000000"/>
        </w:rPr>
      </w:pPr>
      <w:r w:rsidRPr="00B02CD9">
        <w:rPr>
          <w:rFonts w:cs="Garamond"/>
          <w:color w:val="000000"/>
        </w:rPr>
        <w:t xml:space="preserve">Le critère de l’efficience vise à évaluer dans quelle mesure les résultats du projet ont été atteints avec les ressources les moins coûteuses possibles. </w:t>
      </w:r>
    </w:p>
    <w:p w:rsidR="002C28D7" w:rsidRDefault="003F2DF3" w:rsidP="00B02CD9">
      <w:pPr>
        <w:autoSpaceDE w:val="0"/>
        <w:autoSpaceDN w:val="0"/>
        <w:adjustRightInd w:val="0"/>
        <w:spacing w:after="0" w:line="240" w:lineRule="auto"/>
        <w:jc w:val="both"/>
        <w:rPr>
          <w:rFonts w:cs="Garamond"/>
          <w:color w:val="000000"/>
        </w:rPr>
      </w:pPr>
      <w:r>
        <w:rPr>
          <w:rFonts w:cs="Garamond"/>
          <w:color w:val="000000"/>
        </w:rPr>
        <w:t>Malgré l’éloignement des zones d’action du projet et le choix de trois régions pilotes pour déployer le projet CB2 et mettre en œuvre la démarche méthodologique élaborée, la gestion budgétaire a permis de respecter les montants initialement alloués et définis dans le ProDoc.</w:t>
      </w:r>
      <w:r w:rsidR="002C28D7">
        <w:rPr>
          <w:rFonts w:cs="Garamond"/>
          <w:color w:val="000000"/>
        </w:rPr>
        <w:t xml:space="preserve">L’éloignement des régions pilotes constitue à lui seul un risque </w:t>
      </w:r>
      <w:r w:rsidR="00FA546C">
        <w:rPr>
          <w:rFonts w:cs="Garamond"/>
          <w:color w:val="000000"/>
        </w:rPr>
        <w:t xml:space="preserve">important </w:t>
      </w:r>
      <w:r w:rsidR="002C28D7">
        <w:rPr>
          <w:rFonts w:cs="Garamond"/>
          <w:color w:val="000000"/>
        </w:rPr>
        <w:t>de dépassement budgétaire qui n’était pas prévu par le ProDoc.</w:t>
      </w:r>
      <w:r w:rsidR="00FA546C">
        <w:rPr>
          <w:rFonts w:cs="Garamond"/>
          <w:color w:val="000000"/>
        </w:rPr>
        <w:t xml:space="preserve"> Les activités du projet auraient pu se limiter à seulement une région et une dizaine de communes (surtout qu’aucune orientation n’est fournie à ce sujet au niveau du ProDoc) ; cependant le CPP a décidé d’aller de l’avant avec trois régions et plus de 30 communes pilotes. Ce déploiement du projet sur un aussi vaste territoire constitue également un facteur de risque important pour le dépassement du budget initialement prévu.</w:t>
      </w:r>
    </w:p>
    <w:p w:rsidR="00B02CD9" w:rsidRDefault="00B02CD9" w:rsidP="00B02CD9">
      <w:pPr>
        <w:autoSpaceDE w:val="0"/>
        <w:autoSpaceDN w:val="0"/>
        <w:adjustRightInd w:val="0"/>
        <w:spacing w:after="0" w:line="240" w:lineRule="auto"/>
        <w:jc w:val="both"/>
        <w:rPr>
          <w:rFonts w:cs="Garamond"/>
          <w:color w:val="000000"/>
        </w:rPr>
      </w:pPr>
      <w:r w:rsidRPr="00B02CD9">
        <w:rPr>
          <w:rFonts w:cs="Garamond"/>
          <w:color w:val="000000"/>
        </w:rPr>
        <w:t xml:space="preserve">Au vu des documents financiers consultés, l’exécution et le suivi budgétaire assuré </w:t>
      </w:r>
      <w:r w:rsidR="00913FEC">
        <w:rPr>
          <w:rFonts w:cs="Garamond"/>
          <w:color w:val="000000"/>
        </w:rPr>
        <w:t>par le PNUD et l’équipe projet ont</w:t>
      </w:r>
      <w:r w:rsidRPr="00B02CD9">
        <w:rPr>
          <w:rFonts w:cs="Garamond"/>
          <w:color w:val="000000"/>
        </w:rPr>
        <w:t xml:space="preserve"> été adéquats et rigoureux. </w:t>
      </w:r>
      <w:r w:rsidR="00B400DD">
        <w:rPr>
          <w:rFonts w:cs="Garamond"/>
          <w:color w:val="000000"/>
        </w:rPr>
        <w:t>Les ressources budgétisées pour l’exercice 2015 sont toutes affectées et allouées aux activités prévues pour finaliser les résultats du projet.</w:t>
      </w:r>
    </w:p>
    <w:p w:rsidR="003F2DF3" w:rsidRDefault="002C28D7" w:rsidP="002C28D7">
      <w:pPr>
        <w:autoSpaceDE w:val="0"/>
        <w:autoSpaceDN w:val="0"/>
        <w:adjustRightInd w:val="0"/>
        <w:spacing w:after="0" w:line="240" w:lineRule="auto"/>
        <w:jc w:val="both"/>
        <w:rPr>
          <w:rFonts w:cs="Garamond"/>
          <w:iCs/>
          <w:color w:val="000000"/>
        </w:rPr>
      </w:pPr>
      <w:r w:rsidRPr="002C28D7">
        <w:rPr>
          <w:rFonts w:cs="Garamond"/>
          <w:iCs/>
          <w:color w:val="000000"/>
        </w:rPr>
        <w:t>Le taux d’exécution du projet pour la période allant de 2012 à2014 est de 80% (il serait de 70% si on prend en compte le taux d’exécution de 2015 à la date du 26 mai 2015). L’année 2012 a été importante en décaissement (935'924 USD) et correspond à un taux d’exécution de 73%. Le taux d’exécution budgétaire de l’année 2013, a été relativement élevé (93%) du fait que l'activité bu</w:t>
      </w:r>
      <w:r>
        <w:rPr>
          <w:rFonts w:cs="Garamond"/>
          <w:iCs/>
          <w:color w:val="000000"/>
        </w:rPr>
        <w:t>dgétivore du projet (Résultat 1</w:t>
      </w:r>
      <w:r w:rsidRPr="002C28D7">
        <w:rPr>
          <w:rFonts w:cs="Garamond"/>
          <w:iCs/>
          <w:color w:val="000000"/>
        </w:rPr>
        <w:t>) n'a été effectivement exécutée que durant cet exercice</w:t>
      </w:r>
      <w:r w:rsidR="00FA546C">
        <w:rPr>
          <w:rFonts w:cs="Garamond"/>
          <w:iCs/>
          <w:color w:val="000000"/>
        </w:rPr>
        <w:t>.</w:t>
      </w:r>
    </w:p>
    <w:p w:rsidR="00FA546C" w:rsidRDefault="00FA546C" w:rsidP="002C28D7">
      <w:pPr>
        <w:autoSpaceDE w:val="0"/>
        <w:autoSpaceDN w:val="0"/>
        <w:adjustRightInd w:val="0"/>
        <w:spacing w:after="0" w:line="240" w:lineRule="auto"/>
        <w:jc w:val="both"/>
        <w:rPr>
          <w:rFonts w:cs="Garamond"/>
          <w:iCs/>
          <w:color w:val="000000"/>
        </w:rPr>
      </w:pPr>
    </w:p>
    <w:p w:rsidR="00FA546C" w:rsidRDefault="00FA546C" w:rsidP="002C28D7">
      <w:pPr>
        <w:autoSpaceDE w:val="0"/>
        <w:autoSpaceDN w:val="0"/>
        <w:adjustRightInd w:val="0"/>
        <w:spacing w:after="0" w:line="240" w:lineRule="auto"/>
        <w:jc w:val="both"/>
        <w:rPr>
          <w:rFonts w:cs="Garamond"/>
          <w:iCs/>
          <w:color w:val="000000"/>
        </w:rPr>
      </w:pPr>
      <w:r>
        <w:rPr>
          <w:rFonts w:cs="Garamond"/>
          <w:iCs/>
          <w:color w:val="000000"/>
        </w:rPr>
        <w:t>Par ailleurs, la programmation annuelle budgétaire tenait compte de l’élaboration des plans annuels de travail. L’unité de gestion du projet avec l’appui de l’assistante administrative assuraient un suivi très rapproché des états de dépenses par rapport aux prévisions annuels.</w:t>
      </w:r>
    </w:p>
    <w:p w:rsidR="002C28D7" w:rsidRPr="002C28D7" w:rsidRDefault="002C28D7" w:rsidP="00B02CD9">
      <w:pPr>
        <w:autoSpaceDE w:val="0"/>
        <w:autoSpaceDN w:val="0"/>
        <w:adjustRightInd w:val="0"/>
        <w:spacing w:after="0" w:line="240" w:lineRule="auto"/>
        <w:jc w:val="both"/>
        <w:rPr>
          <w:rFonts w:cs="Garamond"/>
          <w:iCs/>
          <w:color w:val="000000"/>
        </w:rPr>
      </w:pPr>
    </w:p>
    <w:p w:rsidR="00B02CD9" w:rsidRPr="003F2DF3" w:rsidRDefault="00B02CD9" w:rsidP="00B02CD9">
      <w:pPr>
        <w:autoSpaceDE w:val="0"/>
        <w:autoSpaceDN w:val="0"/>
        <w:adjustRightInd w:val="0"/>
        <w:spacing w:after="0" w:line="240" w:lineRule="auto"/>
        <w:jc w:val="both"/>
        <w:rPr>
          <w:rFonts w:cs="Garamond"/>
          <w:iCs/>
          <w:color w:val="000000"/>
        </w:rPr>
      </w:pPr>
      <w:r w:rsidRPr="003F2DF3">
        <w:rPr>
          <w:rFonts w:cs="Garamond"/>
          <w:iCs/>
          <w:color w:val="000000"/>
        </w:rPr>
        <w:t xml:space="preserve">Finalement, au vue des résultats achevés et du taux d’utilisation des fonds, l’évaluation de l’efficience du projet est jugée </w:t>
      </w:r>
      <w:r w:rsidR="00B400DD">
        <w:rPr>
          <w:rFonts w:cs="Garamond"/>
          <w:iCs/>
          <w:color w:val="000000"/>
        </w:rPr>
        <w:t xml:space="preserve">très </w:t>
      </w:r>
      <w:r w:rsidRPr="003F2DF3">
        <w:rPr>
          <w:rFonts w:cs="Garamond"/>
          <w:iCs/>
          <w:color w:val="000000"/>
        </w:rPr>
        <w:t>satisfaisante.</w:t>
      </w:r>
    </w:p>
    <w:p w:rsidR="00B02CD9" w:rsidRPr="00B02CD9" w:rsidRDefault="00B02CD9" w:rsidP="00B02CD9">
      <w:pPr>
        <w:autoSpaceDE w:val="0"/>
        <w:autoSpaceDN w:val="0"/>
        <w:adjustRightInd w:val="0"/>
        <w:spacing w:after="0" w:line="240" w:lineRule="auto"/>
        <w:rPr>
          <w:rFonts w:ascii="Garamond" w:hAnsi="Garamond" w:cs="Garamond"/>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03"/>
        <w:gridCol w:w="2528"/>
      </w:tblGrid>
      <w:tr w:rsidR="00B02CD9" w:rsidRPr="00B02CD9" w:rsidTr="00B400DD">
        <w:trPr>
          <w:trHeight w:val="101"/>
        </w:trPr>
        <w:tc>
          <w:tcPr>
            <w:tcW w:w="2003" w:type="dxa"/>
          </w:tcPr>
          <w:p w:rsidR="00B02CD9" w:rsidRPr="00B02CD9" w:rsidRDefault="00B02CD9" w:rsidP="00B02CD9">
            <w:pPr>
              <w:autoSpaceDE w:val="0"/>
              <w:autoSpaceDN w:val="0"/>
              <w:adjustRightInd w:val="0"/>
              <w:spacing w:after="0" w:line="240" w:lineRule="auto"/>
              <w:rPr>
                <w:rFonts w:cs="Garamond"/>
                <w:color w:val="000000"/>
              </w:rPr>
            </w:pPr>
            <w:r w:rsidRPr="00B02CD9">
              <w:rPr>
                <w:rFonts w:cs="Garamond"/>
                <w:color w:val="000000"/>
              </w:rPr>
              <w:t xml:space="preserve">Efficience du projet </w:t>
            </w:r>
          </w:p>
        </w:tc>
        <w:tc>
          <w:tcPr>
            <w:tcW w:w="2528" w:type="dxa"/>
          </w:tcPr>
          <w:p w:rsidR="00B02CD9" w:rsidRPr="00B02CD9" w:rsidRDefault="00B400DD" w:rsidP="00B02CD9">
            <w:pPr>
              <w:autoSpaceDE w:val="0"/>
              <w:autoSpaceDN w:val="0"/>
              <w:adjustRightInd w:val="0"/>
              <w:spacing w:after="0" w:line="240" w:lineRule="auto"/>
              <w:rPr>
                <w:rFonts w:cs="Garamond"/>
                <w:color w:val="000000"/>
              </w:rPr>
            </w:pPr>
            <w:r>
              <w:rPr>
                <w:rFonts w:cs="Garamond"/>
                <w:b/>
                <w:bCs/>
                <w:color w:val="000000"/>
              </w:rPr>
              <w:t xml:space="preserve">Très </w:t>
            </w:r>
            <w:r w:rsidR="00B02CD9" w:rsidRPr="00B02CD9">
              <w:rPr>
                <w:rFonts w:cs="Garamond"/>
                <w:b/>
                <w:bCs/>
                <w:color w:val="000000"/>
              </w:rPr>
              <w:t>Satisfaisante (</w:t>
            </w:r>
            <w:r>
              <w:rPr>
                <w:rFonts w:cs="Garamond"/>
                <w:b/>
                <w:bCs/>
                <w:color w:val="000000"/>
              </w:rPr>
              <w:t>H</w:t>
            </w:r>
            <w:r w:rsidR="00B02CD9" w:rsidRPr="00B02CD9">
              <w:rPr>
                <w:rFonts w:cs="Garamond"/>
                <w:b/>
                <w:bCs/>
                <w:color w:val="000000"/>
              </w:rPr>
              <w:t xml:space="preserve">S) </w:t>
            </w:r>
          </w:p>
        </w:tc>
      </w:tr>
    </w:tbl>
    <w:p w:rsidR="00B02CD9" w:rsidRDefault="00B02CD9" w:rsidP="00AD1A5C">
      <w:pPr>
        <w:autoSpaceDE w:val="0"/>
        <w:autoSpaceDN w:val="0"/>
        <w:adjustRightInd w:val="0"/>
        <w:spacing w:after="0" w:line="240" w:lineRule="auto"/>
        <w:rPr>
          <w:rFonts w:cs="ACaslonPro-Regular"/>
          <w:b/>
          <w:color w:val="000000"/>
          <w:u w:val="single"/>
        </w:rPr>
      </w:pPr>
    </w:p>
    <w:p w:rsidR="00B02CD9" w:rsidRPr="00B02CD9" w:rsidRDefault="00B02CD9" w:rsidP="00AD1A5C">
      <w:pPr>
        <w:autoSpaceDE w:val="0"/>
        <w:autoSpaceDN w:val="0"/>
        <w:adjustRightInd w:val="0"/>
        <w:spacing w:after="0" w:line="240" w:lineRule="auto"/>
        <w:rPr>
          <w:rFonts w:cs="ACaslonPro-Regular"/>
          <w:b/>
          <w:color w:val="000000"/>
          <w:u w:val="single"/>
        </w:rPr>
      </w:pPr>
    </w:p>
    <w:p w:rsidR="00AD1A5C" w:rsidRPr="004972B4" w:rsidRDefault="004972B4" w:rsidP="004972B4">
      <w:pPr>
        <w:pStyle w:val="Titre3"/>
        <w:spacing w:before="0"/>
        <w:rPr>
          <w:rFonts w:asciiTheme="minorHAnsi" w:hAnsiTheme="minorHAnsi" w:cs="ACaslonPro-Regular"/>
          <w:color w:val="auto"/>
        </w:rPr>
      </w:pPr>
      <w:bookmarkStart w:id="57" w:name="_Toc425414592"/>
      <w:r w:rsidRPr="004972B4">
        <w:rPr>
          <w:rFonts w:asciiTheme="minorHAnsi" w:hAnsiTheme="minorHAnsi" w:cs="Calibri"/>
          <w:color w:val="auto"/>
        </w:rPr>
        <w:t xml:space="preserve">III.3.4 </w:t>
      </w:r>
      <w:r w:rsidR="00AD1A5C" w:rsidRPr="004972B4">
        <w:rPr>
          <w:rFonts w:asciiTheme="minorHAnsi" w:hAnsiTheme="minorHAnsi" w:cs="ACaslonPro-Regular"/>
          <w:color w:val="auto"/>
        </w:rPr>
        <w:t>Appropriation par le pays</w:t>
      </w:r>
      <w:bookmarkEnd w:id="57"/>
    </w:p>
    <w:p w:rsidR="004972B4" w:rsidRDefault="004972B4" w:rsidP="004972B4">
      <w:pPr>
        <w:autoSpaceDE w:val="0"/>
        <w:autoSpaceDN w:val="0"/>
        <w:adjustRightInd w:val="0"/>
        <w:spacing w:after="0" w:line="240" w:lineRule="auto"/>
        <w:jc w:val="both"/>
        <w:rPr>
          <w:rFonts w:cs="ACaslonPro-Regular"/>
          <w:color w:val="000000"/>
        </w:rPr>
      </w:pPr>
      <w:r>
        <w:rPr>
          <w:rFonts w:cs="ACaslonPro-Regular"/>
          <w:color w:val="000000"/>
        </w:rPr>
        <w:t>L’implication dès les premières phases, du MI et du MDCE dans la mise en œuvre du projet et leurs efforts (compensés) pour mobiliser et impliquer parties prenantes au niveau régional et local ont contribué à l’appropriation des outils méthodologiques et de la démarche IEL à tous les niveaux des gestionnaires de la planification stratégique locale.</w:t>
      </w:r>
    </w:p>
    <w:p w:rsidR="004972B4" w:rsidRDefault="004972B4" w:rsidP="004972B4">
      <w:pPr>
        <w:autoSpaceDE w:val="0"/>
        <w:autoSpaceDN w:val="0"/>
        <w:adjustRightInd w:val="0"/>
        <w:spacing w:after="0" w:line="240" w:lineRule="auto"/>
        <w:jc w:val="both"/>
        <w:rPr>
          <w:rFonts w:cs="ACaslonPro-Regular"/>
          <w:color w:val="000000"/>
        </w:rPr>
      </w:pPr>
    </w:p>
    <w:p w:rsidR="00AB5423" w:rsidRDefault="004972B4" w:rsidP="004972B4">
      <w:pPr>
        <w:autoSpaceDE w:val="0"/>
        <w:autoSpaceDN w:val="0"/>
        <w:adjustRightInd w:val="0"/>
        <w:spacing w:after="0" w:line="240" w:lineRule="auto"/>
        <w:jc w:val="both"/>
        <w:rPr>
          <w:rFonts w:cs="ACaslonPro-Regular"/>
          <w:color w:val="000000"/>
        </w:rPr>
      </w:pPr>
      <w:r w:rsidRPr="004972B4">
        <w:rPr>
          <w:rFonts w:cs="ACaslonPro-Regular"/>
          <w:color w:val="000000"/>
        </w:rPr>
        <w:t>Au niveau institutionnel, le MD</w:t>
      </w:r>
      <w:r w:rsidR="007E16F5">
        <w:rPr>
          <w:rFonts w:cs="ACaslonPro-Regular"/>
          <w:color w:val="000000"/>
        </w:rPr>
        <w:t>C</w:t>
      </w:r>
      <w:r w:rsidRPr="004972B4">
        <w:rPr>
          <w:rFonts w:cs="ACaslonPro-Regular"/>
          <w:color w:val="000000"/>
        </w:rPr>
        <w:t>E présente une forte appropriation du projet en mobilisant et en impliquant des équip</w:t>
      </w:r>
      <w:r w:rsidR="007E16F5">
        <w:rPr>
          <w:rFonts w:cs="ACaslonPro-Regular"/>
          <w:color w:val="000000"/>
        </w:rPr>
        <w:t>es internes sur la question de l’intégration de la démarche IEL</w:t>
      </w:r>
      <w:r w:rsidRPr="004972B4">
        <w:rPr>
          <w:rFonts w:cs="ACaslonPro-Regular"/>
          <w:color w:val="000000"/>
        </w:rPr>
        <w:t xml:space="preserve">. </w:t>
      </w:r>
      <w:r w:rsidR="007E16F5">
        <w:rPr>
          <w:rFonts w:cs="ACaslonPro-Regular"/>
          <w:color w:val="000000"/>
        </w:rPr>
        <w:t>La stratégie de généralisation attendue du projet CB2 devrait permettre d’asseoir l’institutionnalisation de l’approche IEL.</w:t>
      </w:r>
    </w:p>
    <w:p w:rsidR="007E16F5" w:rsidRDefault="007E16F5" w:rsidP="004972B4">
      <w:pPr>
        <w:autoSpaceDE w:val="0"/>
        <w:autoSpaceDN w:val="0"/>
        <w:adjustRightInd w:val="0"/>
        <w:spacing w:after="0" w:line="240" w:lineRule="auto"/>
        <w:jc w:val="both"/>
        <w:rPr>
          <w:rFonts w:cs="ACaslonPro-Regular"/>
          <w:color w:val="000000"/>
        </w:rPr>
      </w:pPr>
    </w:p>
    <w:p w:rsidR="007E16F5" w:rsidRDefault="007E16F5" w:rsidP="004972B4">
      <w:pPr>
        <w:autoSpaceDE w:val="0"/>
        <w:autoSpaceDN w:val="0"/>
        <w:adjustRightInd w:val="0"/>
        <w:spacing w:after="0" w:line="240" w:lineRule="auto"/>
        <w:jc w:val="both"/>
        <w:rPr>
          <w:rFonts w:cs="ACaslonPro-Regular"/>
          <w:color w:val="000000"/>
        </w:rPr>
      </w:pPr>
      <w:r>
        <w:rPr>
          <w:rFonts w:cs="ACaslonPro-Regular"/>
          <w:color w:val="000000"/>
        </w:rPr>
        <w:t xml:space="preserve">Au niveau opérationnel, les parties prenantes ont adhéré et se sont </w:t>
      </w:r>
      <w:r w:rsidRPr="009514B9">
        <w:rPr>
          <w:rFonts w:cs="ACaslonPro-Regular"/>
          <w:color w:val="000000"/>
        </w:rPr>
        <w:t>approprié</w:t>
      </w:r>
      <w:r w:rsidR="009514B9" w:rsidRPr="009514B9">
        <w:rPr>
          <w:rFonts w:cs="ACaslonPro-Regular"/>
          <w:color w:val="000000"/>
        </w:rPr>
        <w:t>e</w:t>
      </w:r>
      <w:r w:rsidR="009514B9">
        <w:rPr>
          <w:rFonts w:cs="ACaslonPro-Regular"/>
          <w:color w:val="000000"/>
        </w:rPr>
        <w:t>s</w:t>
      </w:r>
      <w:r>
        <w:rPr>
          <w:rFonts w:cs="ACaslonPro-Regular"/>
          <w:color w:val="000000"/>
        </w:rPr>
        <w:t xml:space="preserve"> la démarche IEL car elle donne une réponse pertinente à leurs prérogatives de respect des conventions internationales tel que stipulé par la nouvelle constitution, mais </w:t>
      </w:r>
      <w:r w:rsidR="009411EE">
        <w:rPr>
          <w:rFonts w:cs="ACaslonPro-Regular"/>
          <w:color w:val="000000"/>
        </w:rPr>
        <w:t xml:space="preserve">fournit </w:t>
      </w:r>
      <w:r>
        <w:rPr>
          <w:rFonts w:cs="ACaslonPro-Regular"/>
          <w:color w:val="000000"/>
        </w:rPr>
        <w:t>égaleme</w:t>
      </w:r>
      <w:r w:rsidR="009411EE">
        <w:rPr>
          <w:rFonts w:cs="ACaslonPro-Regular"/>
          <w:color w:val="000000"/>
        </w:rPr>
        <w:t xml:space="preserve">nt des outils </w:t>
      </w:r>
      <w:r>
        <w:rPr>
          <w:rFonts w:cs="ACaslonPro-Regular"/>
          <w:color w:val="000000"/>
        </w:rPr>
        <w:t>méthodologi</w:t>
      </w:r>
      <w:r w:rsidR="009411EE">
        <w:rPr>
          <w:rFonts w:cs="ACaslonPro-Regular"/>
          <w:color w:val="000000"/>
        </w:rPr>
        <w:t>qu</w:t>
      </w:r>
      <w:r>
        <w:rPr>
          <w:rFonts w:cs="ACaslonPro-Regular"/>
          <w:color w:val="000000"/>
        </w:rPr>
        <w:t>e</w:t>
      </w:r>
      <w:r w:rsidR="009411EE">
        <w:rPr>
          <w:rFonts w:cs="ACaslonPro-Regular"/>
          <w:color w:val="000000"/>
        </w:rPr>
        <w:t>s leur permettant d’intégrer les principes du Développement Durable tels que spécifiés par la nouvelle loi portant Charte Nationale dur l’Environnement et le Développement Durable.</w:t>
      </w:r>
    </w:p>
    <w:p w:rsidR="009411EE" w:rsidRDefault="009411EE" w:rsidP="004972B4">
      <w:pPr>
        <w:autoSpaceDE w:val="0"/>
        <w:autoSpaceDN w:val="0"/>
        <w:adjustRightInd w:val="0"/>
        <w:spacing w:after="0" w:line="240" w:lineRule="auto"/>
        <w:jc w:val="both"/>
        <w:rPr>
          <w:rFonts w:cs="ACaslonPro-Regular"/>
          <w:color w:val="000000"/>
        </w:rPr>
      </w:pPr>
    </w:p>
    <w:p w:rsidR="009411EE" w:rsidRDefault="009411EE" w:rsidP="004972B4">
      <w:pPr>
        <w:autoSpaceDE w:val="0"/>
        <w:autoSpaceDN w:val="0"/>
        <w:adjustRightInd w:val="0"/>
        <w:spacing w:after="0" w:line="240" w:lineRule="auto"/>
        <w:jc w:val="both"/>
        <w:rPr>
          <w:rFonts w:cs="ACaslonPro-Regular"/>
          <w:color w:val="000000"/>
        </w:rPr>
      </w:pPr>
      <w:r>
        <w:rPr>
          <w:rFonts w:cs="ACaslonPro-Regular"/>
          <w:color w:val="000000"/>
        </w:rPr>
        <w:t>De plus, d’autres aspects d’appropriation se manifestent par l’engagement des présidents de communes consultés lors des f</w:t>
      </w:r>
      <w:r w:rsidR="00913FEC">
        <w:rPr>
          <w:rFonts w:cs="ACaslonPro-Regular"/>
          <w:color w:val="000000"/>
        </w:rPr>
        <w:t>ocus groupes, pour faire adopter</w:t>
      </w:r>
      <w:r>
        <w:rPr>
          <w:rFonts w:cs="ACaslonPro-Regular"/>
          <w:color w:val="000000"/>
        </w:rPr>
        <w:t xml:space="preserve"> les PCD verdis lors de la prochaine session du conseil de leur commune respective car il constitue le dernier conseil avant les prochaines échéances électorales communales.</w:t>
      </w:r>
    </w:p>
    <w:p w:rsidR="00AB5423" w:rsidRPr="00AD1A5C" w:rsidRDefault="00AB5423" w:rsidP="00AD1A5C">
      <w:pPr>
        <w:autoSpaceDE w:val="0"/>
        <w:autoSpaceDN w:val="0"/>
        <w:adjustRightInd w:val="0"/>
        <w:spacing w:after="0" w:line="240" w:lineRule="auto"/>
        <w:rPr>
          <w:rFonts w:cs="ACaslonPro-Regular"/>
          <w:color w:val="000000"/>
        </w:rPr>
      </w:pPr>
    </w:p>
    <w:p w:rsidR="00AD1A5C" w:rsidRPr="004972B4" w:rsidRDefault="004972B4" w:rsidP="004972B4">
      <w:pPr>
        <w:pStyle w:val="Titre3"/>
        <w:spacing w:before="0"/>
        <w:rPr>
          <w:rFonts w:asciiTheme="minorHAnsi" w:hAnsiTheme="minorHAnsi" w:cs="ACaslonPro-Regular"/>
          <w:color w:val="auto"/>
        </w:rPr>
      </w:pPr>
      <w:bookmarkStart w:id="58" w:name="_Toc425414593"/>
      <w:r w:rsidRPr="004972B4">
        <w:rPr>
          <w:rFonts w:asciiTheme="minorHAnsi" w:hAnsiTheme="minorHAnsi" w:cs="Calibri"/>
          <w:color w:val="auto"/>
        </w:rPr>
        <w:t xml:space="preserve">III.3.5 </w:t>
      </w:r>
      <w:r w:rsidR="00AD1A5C" w:rsidRPr="004972B4">
        <w:rPr>
          <w:rFonts w:asciiTheme="minorHAnsi" w:hAnsiTheme="minorHAnsi" w:cs="ACaslonPro-Regular"/>
          <w:color w:val="auto"/>
        </w:rPr>
        <w:t>Intégration</w:t>
      </w:r>
      <w:bookmarkEnd w:id="58"/>
    </w:p>
    <w:p w:rsidR="004972B4" w:rsidRDefault="007E7CFE" w:rsidP="007E7CFE">
      <w:pPr>
        <w:autoSpaceDE w:val="0"/>
        <w:autoSpaceDN w:val="0"/>
        <w:adjustRightInd w:val="0"/>
        <w:spacing w:after="0" w:line="240" w:lineRule="auto"/>
        <w:jc w:val="both"/>
        <w:rPr>
          <w:rFonts w:cs="ACaslonPro-Regular"/>
          <w:color w:val="000000"/>
        </w:rPr>
      </w:pPr>
      <w:r w:rsidRPr="007E7CFE">
        <w:rPr>
          <w:rFonts w:cs="ACaslonPro-Regular"/>
          <w:color w:val="000000"/>
        </w:rPr>
        <w:t xml:space="preserve">Comme indiqué dans la Section </w:t>
      </w:r>
      <w:r>
        <w:rPr>
          <w:rFonts w:cs="ACaslonPro-Regular"/>
          <w:color w:val="000000"/>
        </w:rPr>
        <w:t>relative à la Pertinence, le projet s’intègre</w:t>
      </w:r>
      <w:r w:rsidRPr="007E7CFE">
        <w:rPr>
          <w:rFonts w:cs="ACaslonPro-Regular"/>
          <w:color w:val="000000"/>
        </w:rPr>
        <w:t xml:space="preserve"> parf</w:t>
      </w:r>
      <w:r>
        <w:rPr>
          <w:rFonts w:cs="ACaslonPro-Regular"/>
          <w:color w:val="000000"/>
        </w:rPr>
        <w:t xml:space="preserve">aitement dans les </w:t>
      </w:r>
      <w:r w:rsidRPr="007C172B">
        <w:rPr>
          <w:rFonts w:cs="ACaslonPro-Regular"/>
          <w:b/>
          <w:color w:val="000000"/>
          <w:u w:val="single"/>
        </w:rPr>
        <w:t>objectifs du PAC et de l’UNDAF</w:t>
      </w:r>
      <w:r w:rsidRPr="007E7CFE">
        <w:rPr>
          <w:rFonts w:cs="ACaslonPro-Regular"/>
          <w:color w:val="000000"/>
        </w:rPr>
        <w:t xml:space="preserve">. Ceci est confirmé par les informations données dans </w:t>
      </w:r>
      <w:r>
        <w:rPr>
          <w:rFonts w:cs="ACaslonPro-Regular"/>
          <w:color w:val="000000"/>
        </w:rPr>
        <w:t>les revues annuelles du projet.</w:t>
      </w:r>
    </w:p>
    <w:p w:rsidR="007E7CFE" w:rsidRDefault="007E7CFE" w:rsidP="00AD1A5C">
      <w:pPr>
        <w:autoSpaceDE w:val="0"/>
        <w:autoSpaceDN w:val="0"/>
        <w:adjustRightInd w:val="0"/>
        <w:spacing w:after="0" w:line="240" w:lineRule="auto"/>
        <w:rPr>
          <w:rFonts w:cs="ACaslonPro-Regular"/>
          <w:color w:val="000000"/>
        </w:rPr>
      </w:pPr>
    </w:p>
    <w:p w:rsidR="000F3205" w:rsidRDefault="007E7CFE" w:rsidP="00D36B8E">
      <w:pPr>
        <w:autoSpaceDE w:val="0"/>
        <w:autoSpaceDN w:val="0"/>
        <w:adjustRightInd w:val="0"/>
        <w:spacing w:after="0" w:line="240" w:lineRule="auto"/>
        <w:jc w:val="both"/>
        <w:rPr>
          <w:rFonts w:cs="ACaslonPro-Regular"/>
          <w:color w:val="000000"/>
        </w:rPr>
      </w:pPr>
      <w:r w:rsidRPr="007C172B">
        <w:rPr>
          <w:rFonts w:cs="ACaslonPro-Regular"/>
          <w:b/>
          <w:color w:val="000000"/>
          <w:u w:val="single"/>
        </w:rPr>
        <w:t>L’</w:t>
      </w:r>
      <w:r w:rsidR="00D36B8E" w:rsidRPr="007C172B">
        <w:rPr>
          <w:rFonts w:cs="ACaslonPro-Regular"/>
          <w:b/>
          <w:color w:val="000000"/>
          <w:u w:val="single"/>
        </w:rPr>
        <w:t>approche genre</w:t>
      </w:r>
      <w:r w:rsidR="00D36B8E">
        <w:rPr>
          <w:rFonts w:cs="ACaslonPro-Regular"/>
          <w:color w:val="000000"/>
        </w:rPr>
        <w:t xml:space="preserve"> pour respecter l’égalité des chances entre femmes et hommes a été respectée dans la mise en œuvre du projet, notamment dans la constitution des organes de gouvernance (CPP, cellule d’exécution, CNP, GREET). </w:t>
      </w:r>
      <w:r w:rsidR="000F3205">
        <w:rPr>
          <w:rFonts w:cs="ACaslonPro-Regular"/>
          <w:color w:val="000000"/>
        </w:rPr>
        <w:t>Rappelons ici que le cadre de résultats du projet ne fait pas référence et ne donne pas d’orientation (cibles chiffrées) pour l’inclusion de l’approche genre dans l’exécution du projet.</w:t>
      </w:r>
    </w:p>
    <w:p w:rsidR="007E7CFE" w:rsidRDefault="00D36B8E" w:rsidP="00D36B8E">
      <w:pPr>
        <w:autoSpaceDE w:val="0"/>
        <w:autoSpaceDN w:val="0"/>
        <w:adjustRightInd w:val="0"/>
        <w:spacing w:after="0" w:line="240" w:lineRule="auto"/>
        <w:jc w:val="both"/>
        <w:rPr>
          <w:rFonts w:cs="ACaslonPro-Regular"/>
          <w:color w:val="000000"/>
        </w:rPr>
      </w:pPr>
      <w:r>
        <w:rPr>
          <w:rFonts w:cs="ACaslonPro-Regular"/>
          <w:color w:val="000000"/>
        </w:rPr>
        <w:t xml:space="preserve">La représentation de la femme dans ces organes </w:t>
      </w:r>
      <w:r w:rsidR="000F3205">
        <w:rPr>
          <w:rFonts w:cs="ACaslonPro-Regular"/>
          <w:color w:val="000000"/>
        </w:rPr>
        <w:t xml:space="preserve">de gouvernance </w:t>
      </w:r>
      <w:r>
        <w:rPr>
          <w:rFonts w:cs="ACaslonPro-Regular"/>
          <w:color w:val="000000"/>
        </w:rPr>
        <w:t xml:space="preserve">est en moyenne de 25 à 30% (voir constitution de ces organes de gouvernance dans les PV de réunion respectifs). Concernant les parties prenantes ayant bénéficié de la formation sur les outils méthodologiques, le rapport revue annuelle de 2014 donne la répartition hommes/femmes des </w:t>
      </w:r>
      <w:r w:rsidR="009E0B71">
        <w:rPr>
          <w:rFonts w:cs="ACaslonPro-Regular"/>
          <w:color w:val="000000"/>
        </w:rPr>
        <w:t>bénéficiaires qui s’établit à 23 % de femmes.</w:t>
      </w:r>
    </w:p>
    <w:p w:rsidR="00086D5C" w:rsidRDefault="00086D5C" w:rsidP="00D36B8E">
      <w:pPr>
        <w:autoSpaceDE w:val="0"/>
        <w:autoSpaceDN w:val="0"/>
        <w:adjustRightInd w:val="0"/>
        <w:spacing w:after="0" w:line="240" w:lineRule="auto"/>
        <w:jc w:val="both"/>
        <w:rPr>
          <w:rFonts w:cs="ACaslonPro-Regular"/>
          <w:color w:val="000000"/>
        </w:rPr>
      </w:pPr>
    </w:p>
    <w:p w:rsidR="001A311A" w:rsidRDefault="001A311A" w:rsidP="00D36B8E">
      <w:pPr>
        <w:autoSpaceDE w:val="0"/>
        <w:autoSpaceDN w:val="0"/>
        <w:adjustRightInd w:val="0"/>
        <w:spacing w:after="0" w:line="240" w:lineRule="auto"/>
        <w:jc w:val="both"/>
        <w:rPr>
          <w:rFonts w:cs="ACaslonPro-Regular"/>
          <w:color w:val="000000"/>
        </w:rPr>
      </w:pPr>
      <w:r>
        <w:rPr>
          <w:rFonts w:cs="ACaslonPro-Regular"/>
          <w:color w:val="000000"/>
        </w:rPr>
        <w:t xml:space="preserve">Par ailleurs, le PNUD et malgré l’absence d’orientations précises dans le ProDoc, a donné ses instructions au sein du CPP pour que outre la participation des femmes soit effective dans les organes de gouvernances et au sein des groupe ciblé par la formation, mais également de rendre effective la </w:t>
      </w:r>
      <w:r w:rsidRPr="001A311A">
        <w:rPr>
          <w:rFonts w:cs="ACaslonPro-Regular"/>
          <w:color w:val="000000"/>
        </w:rPr>
        <w:t>Gendérisation du guide d’intégration de la démarche IEL</w:t>
      </w:r>
      <w:r>
        <w:rPr>
          <w:rFonts w:cs="ACaslonPro-Regular"/>
          <w:color w:val="000000"/>
        </w:rPr>
        <w:t>.</w:t>
      </w:r>
    </w:p>
    <w:p w:rsidR="009E0B71" w:rsidRDefault="009E0B71" w:rsidP="00D36B8E">
      <w:pPr>
        <w:autoSpaceDE w:val="0"/>
        <w:autoSpaceDN w:val="0"/>
        <w:adjustRightInd w:val="0"/>
        <w:spacing w:after="0" w:line="240" w:lineRule="auto"/>
        <w:jc w:val="both"/>
        <w:rPr>
          <w:rFonts w:cs="ACaslonPro-Regular"/>
          <w:color w:val="000000"/>
        </w:rPr>
      </w:pPr>
    </w:p>
    <w:p w:rsidR="007D330A" w:rsidRDefault="007D330A" w:rsidP="00D36B8E">
      <w:pPr>
        <w:autoSpaceDE w:val="0"/>
        <w:autoSpaceDN w:val="0"/>
        <w:adjustRightInd w:val="0"/>
        <w:spacing w:after="0" w:line="240" w:lineRule="auto"/>
        <w:jc w:val="both"/>
        <w:rPr>
          <w:rFonts w:cs="ACaslonPro-Regular"/>
          <w:color w:val="000000"/>
        </w:rPr>
      </w:pPr>
      <w:r>
        <w:rPr>
          <w:rFonts w:cs="ACaslonPro-Regular"/>
          <w:color w:val="000000"/>
        </w:rPr>
        <w:t xml:space="preserve">Concernant les </w:t>
      </w:r>
      <w:r w:rsidRPr="007C172B">
        <w:rPr>
          <w:rFonts w:cs="ACaslonPro-Regular"/>
          <w:b/>
          <w:color w:val="000000"/>
          <w:u w:val="single"/>
        </w:rPr>
        <w:t>droits humains</w:t>
      </w:r>
      <w:r>
        <w:rPr>
          <w:rFonts w:cs="ACaslonPro-Regular"/>
          <w:color w:val="000000"/>
        </w:rPr>
        <w:t>, la stratégie du projet CB2 est conforme aux principes énoncés dans l’article 19 de la nouvelle constitution du Maroc : ‘</w:t>
      </w:r>
      <w:r w:rsidRPr="007D330A">
        <w:rPr>
          <w:rFonts w:cs="ACaslonPro-Regular"/>
          <w:i/>
          <w:color w:val="000000"/>
        </w:rPr>
        <w:t>’L’homme et la femme jouissent, à égalité, des droits et libertés à caractère civil, politique, économique, social, culturel et environnemental</w:t>
      </w:r>
      <w:r>
        <w:rPr>
          <w:rFonts w:cs="ACaslonPro-Regular"/>
          <w:color w:val="000000"/>
        </w:rPr>
        <w:t>…’’. À ce titre, l’objectif du projet (intégrer les objectifs environnementaux mondiaux dans les programmes de l’INDH et dans la planification stratégique locale (PCD) ainsi que dans les processus de budgétisation et de suivi) constitue un appui à la liberté à caractère environnementale</w:t>
      </w:r>
      <w:r w:rsidR="00737A8E">
        <w:rPr>
          <w:rFonts w:cs="ACaslonPro-Regular"/>
          <w:color w:val="000000"/>
        </w:rPr>
        <w:t xml:space="preserve"> des hommes et femmes visés par la planification stratégique locale. L’intégration des objectifs environnementaux dans les </w:t>
      </w:r>
      <w:r w:rsidR="00737A8E">
        <w:rPr>
          <w:rFonts w:cs="ACaslonPro-Regular"/>
          <w:color w:val="000000"/>
        </w:rPr>
        <w:lastRenderedPageBreak/>
        <w:t>PCD et ILDH est identifiée selon un processus participatif. Cette approche renforce la prise en compte des attentes des hommes et des femmes en terme</w:t>
      </w:r>
      <w:r w:rsidR="00823195">
        <w:rPr>
          <w:rFonts w:cs="ACaslonPro-Regular"/>
          <w:color w:val="000000"/>
        </w:rPr>
        <w:t>s</w:t>
      </w:r>
      <w:r w:rsidR="00737A8E">
        <w:rPr>
          <w:rFonts w:cs="ACaslonPro-Regular"/>
          <w:color w:val="000000"/>
        </w:rPr>
        <w:t xml:space="preserve"> d’accès à un environnement sain et durable.</w:t>
      </w:r>
    </w:p>
    <w:p w:rsidR="007D330A" w:rsidRDefault="007D330A" w:rsidP="00D36B8E">
      <w:pPr>
        <w:autoSpaceDE w:val="0"/>
        <w:autoSpaceDN w:val="0"/>
        <w:adjustRightInd w:val="0"/>
        <w:spacing w:after="0" w:line="240" w:lineRule="auto"/>
        <w:jc w:val="both"/>
        <w:rPr>
          <w:rFonts w:cs="ACaslonPro-Regular"/>
          <w:color w:val="000000"/>
        </w:rPr>
      </w:pPr>
    </w:p>
    <w:p w:rsidR="007D330A" w:rsidRDefault="000F3205" w:rsidP="00D36B8E">
      <w:pPr>
        <w:autoSpaceDE w:val="0"/>
        <w:autoSpaceDN w:val="0"/>
        <w:adjustRightInd w:val="0"/>
        <w:spacing w:after="0" w:line="240" w:lineRule="auto"/>
        <w:jc w:val="both"/>
        <w:rPr>
          <w:rFonts w:cs="ACaslonPro-Regular"/>
          <w:color w:val="000000"/>
        </w:rPr>
      </w:pPr>
      <w:r w:rsidRPr="007C172B">
        <w:rPr>
          <w:rFonts w:cs="ACaslonPro-Regular"/>
          <w:b/>
          <w:color w:val="000000"/>
          <w:u w:val="single"/>
        </w:rPr>
        <w:t>Le développement des capacités</w:t>
      </w:r>
      <w:r>
        <w:rPr>
          <w:rFonts w:cs="ACaslonPro-Regular"/>
          <w:color w:val="000000"/>
        </w:rPr>
        <w:t xml:space="preserve"> est inscrit dans les résultats du projet CB2 en réponse à une priorité nationale identifiée par le projet ANCR (auto-évaluation nationale des capacités à renforcer)</w:t>
      </w:r>
      <w:r w:rsidR="007C172B">
        <w:rPr>
          <w:rFonts w:cs="ACaslonPro-Regular"/>
          <w:color w:val="000000"/>
        </w:rPr>
        <w:t>. Le projet CB2 a permis à plus de 200 cadres (élus, services extérieurs, autorités locales, associations, centres de reche</w:t>
      </w:r>
      <w:r w:rsidR="00846BE8">
        <w:rPr>
          <w:rFonts w:cs="ACaslonPro-Regular"/>
          <w:color w:val="000000"/>
        </w:rPr>
        <w:t>rches, etc. – voir liste dans la</w:t>
      </w:r>
      <w:r w:rsidR="007C172B">
        <w:rPr>
          <w:rFonts w:cs="ACaslonPro-Regular"/>
          <w:color w:val="000000"/>
        </w:rPr>
        <w:t xml:space="preserve"> revue annuelle de 2014). Ces capacités ont été développées sur les aspects de prise en compte de la gestion environnementale et la considération des trois conventions de Rio dans la planification stratégique locale. Ces éléments, une fois intégrés dans les outils de planification, contribueront à la </w:t>
      </w:r>
      <w:r w:rsidR="007C172B" w:rsidRPr="007C172B">
        <w:rPr>
          <w:rFonts w:cs="ACaslonPro-Regular"/>
          <w:b/>
          <w:color w:val="000000"/>
          <w:u w:val="single"/>
        </w:rPr>
        <w:t>durabilité environnementale</w:t>
      </w:r>
      <w:r w:rsidR="007C172B">
        <w:rPr>
          <w:rFonts w:cs="ACaslonPro-Regular"/>
          <w:color w:val="000000"/>
        </w:rPr>
        <w:t xml:space="preserve"> des projets de développement identifiés au niveau des zones couvertes par les PCD et les ILDH.</w:t>
      </w:r>
    </w:p>
    <w:p w:rsidR="004972B4" w:rsidRDefault="004972B4" w:rsidP="00AD1A5C">
      <w:pPr>
        <w:autoSpaceDE w:val="0"/>
        <w:autoSpaceDN w:val="0"/>
        <w:adjustRightInd w:val="0"/>
        <w:spacing w:after="0" w:line="240" w:lineRule="auto"/>
        <w:rPr>
          <w:rFonts w:cs="ACaslonPro-Regular"/>
          <w:color w:val="000000"/>
        </w:rPr>
      </w:pPr>
    </w:p>
    <w:p w:rsidR="0090512C" w:rsidRPr="0090512C" w:rsidRDefault="0090512C" w:rsidP="0090512C">
      <w:pPr>
        <w:autoSpaceDE w:val="0"/>
        <w:autoSpaceDN w:val="0"/>
        <w:adjustRightInd w:val="0"/>
        <w:spacing w:after="0" w:line="240" w:lineRule="auto"/>
        <w:jc w:val="both"/>
        <w:rPr>
          <w:rFonts w:cs="ACaslonPro-Regular"/>
          <w:color w:val="000000"/>
        </w:rPr>
      </w:pPr>
      <w:r w:rsidRPr="0090512C">
        <w:rPr>
          <w:rFonts w:cs="ACaslonPro-Regular"/>
          <w:color w:val="000000"/>
        </w:rPr>
        <w:t xml:space="preserve">Le projet adopte la </w:t>
      </w:r>
      <w:r w:rsidRPr="0090512C">
        <w:rPr>
          <w:rFonts w:cs="ACaslonPro-Regular"/>
          <w:b/>
          <w:color w:val="000000"/>
          <w:u w:val="single"/>
        </w:rPr>
        <w:t>gestion axée sur les résultats (GAR).</w:t>
      </w:r>
      <w:r w:rsidRPr="0090512C">
        <w:rPr>
          <w:rFonts w:cs="ACaslonPro-Regular"/>
          <w:color w:val="000000"/>
        </w:rPr>
        <w:t xml:space="preserve"> En effet, le concept du projet détermine les résultats, les indicateurs et les cibles à atteindre de manière précise. Le projet dispose d’une approche de suivi et d’évaluation définie permettant de suivre le progrès des réalisations.</w:t>
      </w:r>
    </w:p>
    <w:p w:rsidR="0090512C" w:rsidRDefault="0090512C" w:rsidP="0090512C">
      <w:pPr>
        <w:autoSpaceDE w:val="0"/>
        <w:autoSpaceDN w:val="0"/>
        <w:adjustRightInd w:val="0"/>
        <w:spacing w:after="0" w:line="240" w:lineRule="auto"/>
        <w:jc w:val="both"/>
        <w:rPr>
          <w:rFonts w:cs="ACaslonPro-Regular"/>
          <w:color w:val="000000"/>
        </w:rPr>
      </w:pPr>
      <w:r w:rsidRPr="0090512C">
        <w:rPr>
          <w:rFonts w:cs="ACaslonPro-Regular"/>
          <w:color w:val="000000"/>
        </w:rPr>
        <w:t xml:space="preserve">Aussi, l’analyse des risques et des contraintes de mise en </w:t>
      </w:r>
      <w:r>
        <w:rPr>
          <w:rFonts w:cs="ACaslonPro-Regular"/>
          <w:color w:val="000000"/>
        </w:rPr>
        <w:t xml:space="preserve">œuvre </w:t>
      </w:r>
      <w:r w:rsidRPr="0090512C">
        <w:rPr>
          <w:rFonts w:cs="ACaslonPro-Regular"/>
          <w:color w:val="000000"/>
        </w:rPr>
        <w:t>ainsi que l’intégration de recommandations/leçons apprises dans les décisions de gestion et le reporting du projet viennent appuyer l’approche GAR. La performance du pr</w:t>
      </w:r>
      <w:r>
        <w:rPr>
          <w:rFonts w:cs="ACaslonPro-Regular"/>
          <w:color w:val="000000"/>
        </w:rPr>
        <w:t>ojet est partagée avec la cellule de suivi</w:t>
      </w:r>
      <w:r w:rsidRPr="0090512C">
        <w:rPr>
          <w:rFonts w:cs="ACaslonPro-Regular"/>
          <w:color w:val="000000"/>
        </w:rPr>
        <w:t xml:space="preserve"> et le C</w:t>
      </w:r>
      <w:r>
        <w:rPr>
          <w:rFonts w:cs="ACaslonPro-Regular"/>
          <w:color w:val="000000"/>
        </w:rPr>
        <w:t>PP</w:t>
      </w:r>
      <w:r w:rsidRPr="0090512C">
        <w:rPr>
          <w:rFonts w:cs="ACaslonPro-Regular"/>
          <w:color w:val="000000"/>
        </w:rPr>
        <w:t xml:space="preserve"> du projet</w:t>
      </w:r>
      <w:r>
        <w:rPr>
          <w:rFonts w:cs="ACaslonPro-Regular"/>
          <w:color w:val="000000"/>
        </w:rPr>
        <w:t xml:space="preserve"> CB2.</w:t>
      </w:r>
    </w:p>
    <w:p w:rsidR="0090512C" w:rsidRPr="00AD1A5C" w:rsidRDefault="0090512C" w:rsidP="0090512C">
      <w:pPr>
        <w:autoSpaceDE w:val="0"/>
        <w:autoSpaceDN w:val="0"/>
        <w:adjustRightInd w:val="0"/>
        <w:spacing w:after="0" w:line="240" w:lineRule="auto"/>
        <w:jc w:val="both"/>
        <w:rPr>
          <w:rFonts w:cs="ACaslonPro-Regular"/>
          <w:color w:val="000000"/>
        </w:rPr>
      </w:pPr>
    </w:p>
    <w:p w:rsidR="00AD1A5C" w:rsidRPr="004972B4" w:rsidRDefault="004972B4" w:rsidP="004972B4">
      <w:pPr>
        <w:pStyle w:val="Titre3"/>
        <w:spacing w:before="0"/>
        <w:rPr>
          <w:rFonts w:asciiTheme="minorHAnsi" w:hAnsiTheme="minorHAnsi" w:cs="ACaslonPro-Regular"/>
          <w:color w:val="auto"/>
        </w:rPr>
      </w:pPr>
      <w:bookmarkStart w:id="59" w:name="_Toc425414594"/>
      <w:r w:rsidRPr="004972B4">
        <w:rPr>
          <w:rFonts w:asciiTheme="minorHAnsi" w:hAnsiTheme="minorHAnsi" w:cs="Calibri"/>
          <w:color w:val="auto"/>
        </w:rPr>
        <w:t xml:space="preserve">III.3.6 </w:t>
      </w:r>
      <w:r w:rsidRPr="004972B4">
        <w:rPr>
          <w:rFonts w:asciiTheme="minorHAnsi" w:hAnsiTheme="minorHAnsi" w:cs="ACaslonPro-Regular"/>
          <w:color w:val="auto"/>
        </w:rPr>
        <w:t>Durabilité</w:t>
      </w:r>
      <w:bookmarkEnd w:id="59"/>
    </w:p>
    <w:p w:rsidR="00130292" w:rsidRDefault="00130292" w:rsidP="002A59C0">
      <w:pPr>
        <w:autoSpaceDE w:val="0"/>
        <w:autoSpaceDN w:val="0"/>
        <w:adjustRightInd w:val="0"/>
        <w:spacing w:after="0" w:line="240" w:lineRule="auto"/>
        <w:rPr>
          <w:rFonts w:cs="ACaslonPro-Regular"/>
          <w:color w:val="000000"/>
        </w:rPr>
      </w:pPr>
    </w:p>
    <w:p w:rsidR="002A59C0" w:rsidRDefault="002E1EB8" w:rsidP="00062BC9">
      <w:pPr>
        <w:autoSpaceDE w:val="0"/>
        <w:autoSpaceDN w:val="0"/>
        <w:adjustRightInd w:val="0"/>
        <w:spacing w:after="0" w:line="240" w:lineRule="auto"/>
        <w:jc w:val="both"/>
        <w:rPr>
          <w:rFonts w:cs="ACaslonPro-Regular"/>
          <w:color w:val="000000"/>
        </w:rPr>
      </w:pPr>
      <w:r>
        <w:rPr>
          <w:rFonts w:cs="ACaslonPro-Regular"/>
          <w:color w:val="000000"/>
        </w:rPr>
        <w:t xml:space="preserve">La durabilité du projet CB2 a été initiée avec l’attribution au MDCE/DPCC du rôle d’agence d’exécution du projet. En effet, le Directeur du projet est le point focal FEM au Maroc et le MDCE abrite les points focaux des conventions des nations unies sur les changements climatiques et sur la biodiversité (le point focal de la convention sur la désertification est le Haut-Commissariat aux Eaux et Forêts et à la Lutte Contre la Désertification – HCEFLCD). En outre, le MDCE a en charge l’élaboration et la mise en œuvre de la Stratégie Nationale sur l’Environnement et le Développement Durable. Cette stratégie </w:t>
      </w:r>
      <w:r w:rsidR="00062BC9">
        <w:rPr>
          <w:rFonts w:cs="ACaslonPro-Regular"/>
          <w:color w:val="000000"/>
        </w:rPr>
        <w:t xml:space="preserve">traduit les orientations dessinées dans la loi cadre portant Charte Nationale de l’Environnement et le Développement Durable qui met en œuvre la déclaration de Rio et </w:t>
      </w:r>
      <w:r w:rsidR="00846BE8">
        <w:rPr>
          <w:rFonts w:cs="ACaslonPro-Regular"/>
          <w:color w:val="000000"/>
        </w:rPr>
        <w:t>les engagements</w:t>
      </w:r>
      <w:r w:rsidR="00062BC9">
        <w:rPr>
          <w:rFonts w:cs="ACaslonPro-Regular"/>
          <w:color w:val="000000"/>
        </w:rPr>
        <w:t xml:space="preserve"> du Maroc vis-à-vis des trois conventions de Rio</w:t>
      </w:r>
      <w:r w:rsidR="00BC0FDC">
        <w:rPr>
          <w:rFonts w:cs="ACaslonPro-Regular"/>
          <w:color w:val="000000"/>
        </w:rPr>
        <w:t>.</w:t>
      </w:r>
    </w:p>
    <w:p w:rsidR="00062BC9" w:rsidRDefault="00062BC9" w:rsidP="002A59C0">
      <w:pPr>
        <w:autoSpaceDE w:val="0"/>
        <w:autoSpaceDN w:val="0"/>
        <w:adjustRightInd w:val="0"/>
        <w:spacing w:after="0" w:line="240" w:lineRule="auto"/>
        <w:rPr>
          <w:rFonts w:cs="ACaslonPro-Regular"/>
          <w:color w:val="000000"/>
        </w:rPr>
      </w:pPr>
    </w:p>
    <w:p w:rsidR="00E435D2" w:rsidRDefault="00E435D2" w:rsidP="00E435D2">
      <w:pPr>
        <w:autoSpaceDE w:val="0"/>
        <w:autoSpaceDN w:val="0"/>
        <w:adjustRightInd w:val="0"/>
        <w:spacing w:after="0" w:line="240" w:lineRule="auto"/>
        <w:jc w:val="both"/>
        <w:rPr>
          <w:rFonts w:cs="ACaslonPro-Regular"/>
          <w:color w:val="000000"/>
        </w:rPr>
      </w:pPr>
      <w:r>
        <w:rPr>
          <w:rFonts w:cs="ACaslonPro-Regular"/>
          <w:color w:val="000000"/>
        </w:rPr>
        <w:t xml:space="preserve">Par ailleurs, le MDCE </w:t>
      </w:r>
      <w:r w:rsidR="00846BE8">
        <w:rPr>
          <w:rFonts w:cs="ACaslonPro-Regular"/>
          <w:color w:val="000000"/>
        </w:rPr>
        <w:t>collabore</w:t>
      </w:r>
      <w:r>
        <w:rPr>
          <w:rFonts w:cs="ACaslonPro-Regular"/>
          <w:color w:val="000000"/>
        </w:rPr>
        <w:t xml:space="preserve"> avec la DGCL-DFCAT et la GIZ pour l’utilisation des outils méthodologiques développés dans le cadre du projet CB2, dans leurs programmes respectifs de renforcement des capacités (</w:t>
      </w:r>
      <w:r w:rsidRPr="00846BE8">
        <w:rPr>
          <w:rFonts w:cs="ACaslonPro-Regular"/>
          <w:color w:val="000000"/>
        </w:rPr>
        <w:t>RF</w:t>
      </w:r>
      <w:r>
        <w:rPr>
          <w:rFonts w:cs="ACaslonPro-Regular"/>
          <w:color w:val="000000"/>
        </w:rPr>
        <w:t xml:space="preserve">). Une action de </w:t>
      </w:r>
      <w:r w:rsidRPr="00846BE8">
        <w:rPr>
          <w:rFonts w:cs="ACaslonPro-Regular"/>
          <w:color w:val="000000"/>
        </w:rPr>
        <w:t>RF</w:t>
      </w:r>
      <w:r>
        <w:rPr>
          <w:rFonts w:cs="ACaslonPro-Regular"/>
          <w:color w:val="000000"/>
        </w:rPr>
        <w:t xml:space="preserve"> basée sur ces outils est actuellement en cours dans la région de Tanger-Tétouan et intéresse 33 communes. Elle est orchestrée par l’association ADELMA qui exécute le projet ADAGE financé par la coopération </w:t>
      </w:r>
      <w:r w:rsidR="00846BE8" w:rsidRPr="00846BE8">
        <w:rPr>
          <w:rFonts w:cs="ACaslonPro-Regular"/>
          <w:color w:val="000000"/>
        </w:rPr>
        <w:t>espagnole</w:t>
      </w:r>
      <w:r>
        <w:rPr>
          <w:rFonts w:cs="ACaslonPro-Regular"/>
          <w:color w:val="000000"/>
        </w:rPr>
        <w:t>.</w:t>
      </w:r>
    </w:p>
    <w:p w:rsidR="00E435D2" w:rsidRPr="002A59C0" w:rsidRDefault="00E435D2" w:rsidP="002A59C0">
      <w:pPr>
        <w:autoSpaceDE w:val="0"/>
        <w:autoSpaceDN w:val="0"/>
        <w:adjustRightInd w:val="0"/>
        <w:spacing w:after="0" w:line="240" w:lineRule="auto"/>
        <w:rPr>
          <w:rFonts w:cs="ACaslonPro-Regular"/>
          <w:color w:val="000000"/>
        </w:rPr>
      </w:pPr>
    </w:p>
    <w:p w:rsidR="00BC0FDC" w:rsidRDefault="00BC0FDC" w:rsidP="00BC0FDC">
      <w:pPr>
        <w:autoSpaceDE w:val="0"/>
        <w:autoSpaceDN w:val="0"/>
        <w:adjustRightInd w:val="0"/>
        <w:spacing w:after="0" w:line="240" w:lineRule="auto"/>
        <w:jc w:val="both"/>
        <w:rPr>
          <w:rFonts w:cs="ACaslonPro-Regular"/>
          <w:color w:val="000000"/>
        </w:rPr>
      </w:pPr>
      <w:r>
        <w:rPr>
          <w:rFonts w:cs="ACaslonPro-Regular"/>
          <w:color w:val="000000"/>
        </w:rPr>
        <w:t xml:space="preserve">En termes de gouvernance, le projet a mis en place les GREET dont les membres sont nommés de manière nominative par les gouverneurs et leur lettre de mission précise leur rôle dans la mise en œuvre de la démarche IEL. Ces structures institutionnelles assureront la durabilité du projet au niveau de leur région respective et leur efficacité est d’autant plus soutenue par le fait qu’elles sont présidées par les directeurs des OREDD et les responsables des services environnement représentant les Wilaya. Ces structures sont amenées à être renforcées prochainement par les </w:t>
      </w:r>
      <w:r w:rsidR="00E435D2">
        <w:rPr>
          <w:rFonts w:cs="ACaslonPro-Regular"/>
          <w:color w:val="000000"/>
        </w:rPr>
        <w:t xml:space="preserve">95 </w:t>
      </w:r>
      <w:r>
        <w:rPr>
          <w:rFonts w:cs="ACaslonPro-Regular"/>
          <w:color w:val="000000"/>
        </w:rPr>
        <w:t>Agents de Développement Provinciaux-</w:t>
      </w:r>
      <w:r w:rsidR="00E435D2">
        <w:rPr>
          <w:rFonts w:cs="ACaslonPro-Regular"/>
          <w:color w:val="000000"/>
        </w:rPr>
        <w:t>Préfecto</w:t>
      </w:r>
      <w:r w:rsidR="00B93891">
        <w:rPr>
          <w:rFonts w:cs="ACaslonPro-Regular"/>
          <w:color w:val="000000"/>
        </w:rPr>
        <w:t>raux qui représentent la DGCL-D</w:t>
      </w:r>
      <w:r w:rsidR="00E435D2">
        <w:rPr>
          <w:rFonts w:cs="ACaslonPro-Regular"/>
          <w:color w:val="000000"/>
        </w:rPr>
        <w:t>P</w:t>
      </w:r>
      <w:r w:rsidR="00B93891">
        <w:rPr>
          <w:rFonts w:cs="ACaslonPro-Regular"/>
          <w:color w:val="000000"/>
        </w:rPr>
        <w:t>E</w:t>
      </w:r>
      <w:r w:rsidR="00E435D2">
        <w:rPr>
          <w:rFonts w:cs="ACaslonPro-Regular"/>
          <w:color w:val="000000"/>
        </w:rPr>
        <w:t xml:space="preserve"> au niveau local.</w:t>
      </w:r>
    </w:p>
    <w:p w:rsidR="00E435D2" w:rsidRDefault="00E435D2" w:rsidP="00BC0FDC">
      <w:pPr>
        <w:autoSpaceDE w:val="0"/>
        <w:autoSpaceDN w:val="0"/>
        <w:adjustRightInd w:val="0"/>
        <w:spacing w:after="0" w:line="240" w:lineRule="auto"/>
        <w:jc w:val="both"/>
        <w:rPr>
          <w:rFonts w:cs="ACaslonPro-Regular"/>
          <w:color w:val="000000"/>
        </w:rPr>
      </w:pPr>
    </w:p>
    <w:p w:rsidR="002A59C0" w:rsidRDefault="00CD3056" w:rsidP="004E4457">
      <w:pPr>
        <w:autoSpaceDE w:val="0"/>
        <w:autoSpaceDN w:val="0"/>
        <w:adjustRightInd w:val="0"/>
        <w:spacing w:after="0" w:line="240" w:lineRule="auto"/>
        <w:jc w:val="both"/>
        <w:rPr>
          <w:rFonts w:cs="ACaslonPro-Regular"/>
          <w:color w:val="000000"/>
        </w:rPr>
      </w:pPr>
      <w:r>
        <w:rPr>
          <w:rFonts w:cs="ACaslonPro-Regular"/>
          <w:color w:val="000000"/>
        </w:rPr>
        <w:t>Concernant les ressources financières et a</w:t>
      </w:r>
      <w:r w:rsidRPr="00B553CD">
        <w:rPr>
          <w:rFonts w:cs="ACaslonPro-Regular"/>
          <w:color w:val="000000"/>
        </w:rPr>
        <w:t>u vu des documents financiers consultés, l’exécution et le suivi budgétaire assuré par le PNUD et l’équipe projet ont été adéquats et rigoureux. Les ressources budgétisées pour l’exercice 2015 sont toutes affectées et allouées aux activités prévues pour finaliser les résultats du projet.</w:t>
      </w:r>
      <w:r>
        <w:rPr>
          <w:rFonts w:cs="ACaslonPro-Regular"/>
          <w:color w:val="000000"/>
        </w:rPr>
        <w:t xml:space="preserve"> Par ailleurs, l</w:t>
      </w:r>
      <w:r w:rsidR="004E4457">
        <w:rPr>
          <w:rFonts w:cs="ACaslonPro-Regular"/>
          <w:color w:val="000000"/>
        </w:rPr>
        <w:t xml:space="preserve">e MDCE a </w:t>
      </w:r>
      <w:r w:rsidR="00846BE8">
        <w:rPr>
          <w:rFonts w:cs="ACaslonPro-Regular"/>
          <w:color w:val="000000"/>
        </w:rPr>
        <w:t>affecté en 2015,</w:t>
      </w:r>
      <w:r w:rsidR="004E4457">
        <w:rPr>
          <w:rFonts w:cs="ACaslonPro-Regular"/>
          <w:color w:val="000000"/>
        </w:rPr>
        <w:t xml:space="preserve"> une enveloppe budgétaire de 1 MDH </w:t>
      </w:r>
      <w:r w:rsidR="00846BE8">
        <w:rPr>
          <w:rFonts w:cs="ACaslonPro-Regular"/>
          <w:color w:val="000000"/>
        </w:rPr>
        <w:t xml:space="preserve">et a programmé 1,5 MDH en 2016 </w:t>
      </w:r>
      <w:r w:rsidR="004E4457">
        <w:rPr>
          <w:rFonts w:cs="ACaslonPro-Regular"/>
          <w:color w:val="000000"/>
        </w:rPr>
        <w:t xml:space="preserve">pour l’action de formation des formateurs sur les outils </w:t>
      </w:r>
      <w:r w:rsidR="004E4457">
        <w:rPr>
          <w:rFonts w:cs="ACaslonPro-Regular"/>
          <w:color w:val="000000"/>
        </w:rPr>
        <w:lastRenderedPageBreak/>
        <w:t>méthodologiques de l’approche IEL développés par le projet CB2</w:t>
      </w:r>
      <w:r w:rsidR="00846BE8">
        <w:rPr>
          <w:rFonts w:cs="ACaslonPro-Regular"/>
          <w:color w:val="000000"/>
        </w:rPr>
        <w:t xml:space="preserve"> et sa duplication par les formateurs</w:t>
      </w:r>
      <w:r w:rsidR="004E4457">
        <w:rPr>
          <w:rFonts w:cs="ACaslonPro-Regular"/>
          <w:color w:val="000000"/>
        </w:rPr>
        <w:t xml:space="preserve">. Cette action intéressera les 95 Agents de développement Provinciaux-Préfectoraux. </w:t>
      </w:r>
      <w:r w:rsidR="00B93891" w:rsidRPr="00B93891">
        <w:rPr>
          <w:rFonts w:cs="ACaslonPro-Regular"/>
          <w:color w:val="000000"/>
        </w:rPr>
        <w:t>Une étroite coordination entre le MI/DGCL-DFCAT et le MDCE/DPCC est en cours pour rendre effective cette action. La stratégie de généralisation du projet CB2 est en cours de finalisation par l’UGP. Elle fournira plus de précisions et d’autres éléments pour nourrir la planification de sortie du projet.</w:t>
      </w:r>
      <w:bookmarkStart w:id="60" w:name="_GoBack"/>
      <w:bookmarkEnd w:id="60"/>
    </w:p>
    <w:p w:rsidR="00755753" w:rsidRDefault="00755753" w:rsidP="004E4457">
      <w:pPr>
        <w:autoSpaceDE w:val="0"/>
        <w:autoSpaceDN w:val="0"/>
        <w:adjustRightInd w:val="0"/>
        <w:spacing w:after="0" w:line="240" w:lineRule="auto"/>
        <w:jc w:val="both"/>
        <w:rPr>
          <w:rFonts w:cs="ACaslonPro-Regular"/>
          <w:color w:val="000000"/>
        </w:rPr>
      </w:pPr>
    </w:p>
    <w:tbl>
      <w:tblPr>
        <w:tblW w:w="0" w:type="auto"/>
        <w:tblLayout w:type="fixed"/>
        <w:tblLook w:val="0000"/>
      </w:tblPr>
      <w:tblGrid>
        <w:gridCol w:w="3510"/>
        <w:gridCol w:w="2410"/>
      </w:tblGrid>
      <w:tr w:rsidR="00755753" w:rsidRPr="006F68D0" w:rsidTr="00CD3056">
        <w:trPr>
          <w:trHeight w:val="269"/>
        </w:trPr>
        <w:tc>
          <w:tcPr>
            <w:tcW w:w="3510" w:type="dxa"/>
            <w:tcBorders>
              <w:top w:val="single" w:sz="4" w:space="0" w:color="auto"/>
              <w:left w:val="single" w:sz="4" w:space="0" w:color="auto"/>
              <w:bottom w:val="single" w:sz="4" w:space="0" w:color="auto"/>
              <w:right w:val="single" w:sz="4" w:space="0" w:color="auto"/>
            </w:tcBorders>
          </w:tcPr>
          <w:p w:rsidR="00755753" w:rsidRPr="00755753" w:rsidRDefault="00755753" w:rsidP="00B553CD">
            <w:pPr>
              <w:autoSpaceDE w:val="0"/>
              <w:autoSpaceDN w:val="0"/>
              <w:adjustRightInd w:val="0"/>
              <w:spacing w:after="0"/>
              <w:rPr>
                <w:rFonts w:cs="Garamond"/>
                <w:color w:val="000000"/>
              </w:rPr>
            </w:pPr>
            <w:r w:rsidRPr="00755753">
              <w:rPr>
                <w:rFonts w:cs="Garamond"/>
                <w:color w:val="000000"/>
              </w:rPr>
              <w:t>Ressources financières</w:t>
            </w:r>
          </w:p>
        </w:tc>
        <w:tc>
          <w:tcPr>
            <w:tcW w:w="2410" w:type="dxa"/>
            <w:tcBorders>
              <w:top w:val="single" w:sz="4" w:space="0" w:color="auto"/>
              <w:left w:val="single" w:sz="4" w:space="0" w:color="auto"/>
              <w:bottom w:val="single" w:sz="4" w:space="0" w:color="auto"/>
              <w:right w:val="single" w:sz="4" w:space="0" w:color="auto"/>
            </w:tcBorders>
          </w:tcPr>
          <w:p w:rsidR="00755753" w:rsidRPr="00755753" w:rsidRDefault="00755753" w:rsidP="00B553CD">
            <w:pPr>
              <w:autoSpaceDE w:val="0"/>
              <w:autoSpaceDN w:val="0"/>
              <w:adjustRightInd w:val="0"/>
              <w:spacing w:after="0"/>
              <w:rPr>
                <w:rFonts w:cs="Garamond"/>
                <w:b/>
                <w:bCs/>
                <w:color w:val="000000"/>
              </w:rPr>
            </w:pPr>
            <w:r w:rsidRPr="00755753">
              <w:rPr>
                <w:rFonts w:cs="Garamond"/>
                <w:b/>
                <w:bCs/>
                <w:color w:val="000000"/>
              </w:rPr>
              <w:t>MP</w:t>
            </w:r>
          </w:p>
        </w:tc>
      </w:tr>
      <w:tr w:rsidR="00E435D2" w:rsidRPr="00E435D2" w:rsidTr="00CD3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3510" w:type="dxa"/>
          </w:tcPr>
          <w:p w:rsidR="00E435D2" w:rsidRPr="00E435D2" w:rsidRDefault="00E435D2" w:rsidP="00E435D2">
            <w:pPr>
              <w:autoSpaceDE w:val="0"/>
              <w:autoSpaceDN w:val="0"/>
              <w:adjustRightInd w:val="0"/>
              <w:spacing w:after="0" w:line="240" w:lineRule="auto"/>
              <w:rPr>
                <w:rFonts w:cs="Garamond"/>
                <w:color w:val="000000"/>
              </w:rPr>
            </w:pPr>
            <w:r w:rsidRPr="00E435D2">
              <w:rPr>
                <w:rFonts w:cs="Garamond"/>
                <w:color w:val="000000"/>
              </w:rPr>
              <w:t xml:space="preserve">Cadre institutionnel et gouvernance </w:t>
            </w:r>
          </w:p>
        </w:tc>
        <w:tc>
          <w:tcPr>
            <w:tcW w:w="2410" w:type="dxa"/>
          </w:tcPr>
          <w:p w:rsidR="00E435D2" w:rsidRPr="00E435D2" w:rsidRDefault="00755753" w:rsidP="00E435D2">
            <w:pPr>
              <w:autoSpaceDE w:val="0"/>
              <w:autoSpaceDN w:val="0"/>
              <w:adjustRightInd w:val="0"/>
              <w:spacing w:after="0" w:line="240" w:lineRule="auto"/>
              <w:rPr>
                <w:rFonts w:cs="Garamond"/>
                <w:color w:val="000000"/>
              </w:rPr>
            </w:pPr>
            <w:r>
              <w:rPr>
                <w:rFonts w:cs="Garamond"/>
                <w:b/>
                <w:bCs/>
                <w:color w:val="000000"/>
              </w:rPr>
              <w:t>L</w:t>
            </w:r>
          </w:p>
        </w:tc>
      </w:tr>
      <w:tr w:rsidR="00E435D2" w:rsidRPr="00E435D2" w:rsidTr="00E43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
        </w:trPr>
        <w:tc>
          <w:tcPr>
            <w:tcW w:w="3510" w:type="dxa"/>
          </w:tcPr>
          <w:p w:rsidR="00E435D2" w:rsidRPr="00E435D2" w:rsidRDefault="00E435D2" w:rsidP="00E435D2">
            <w:pPr>
              <w:autoSpaceDE w:val="0"/>
              <w:autoSpaceDN w:val="0"/>
              <w:adjustRightInd w:val="0"/>
              <w:spacing w:after="0" w:line="240" w:lineRule="auto"/>
              <w:rPr>
                <w:rFonts w:cs="Garamond"/>
                <w:color w:val="000000"/>
              </w:rPr>
            </w:pPr>
            <w:r w:rsidRPr="00E435D2">
              <w:rPr>
                <w:rFonts w:cs="Garamond"/>
                <w:color w:val="000000"/>
              </w:rPr>
              <w:t xml:space="preserve">Environnementale </w:t>
            </w:r>
          </w:p>
        </w:tc>
        <w:tc>
          <w:tcPr>
            <w:tcW w:w="2410" w:type="dxa"/>
          </w:tcPr>
          <w:p w:rsidR="00E435D2" w:rsidRPr="00E435D2" w:rsidRDefault="00755753" w:rsidP="00E435D2">
            <w:pPr>
              <w:autoSpaceDE w:val="0"/>
              <w:autoSpaceDN w:val="0"/>
              <w:adjustRightInd w:val="0"/>
              <w:spacing w:after="0" w:line="240" w:lineRule="auto"/>
              <w:rPr>
                <w:rFonts w:cs="Garamond"/>
                <w:color w:val="000000"/>
              </w:rPr>
            </w:pPr>
            <w:r>
              <w:rPr>
                <w:rFonts w:cs="Garamond"/>
                <w:b/>
                <w:bCs/>
                <w:color w:val="000000"/>
              </w:rPr>
              <w:t>MP</w:t>
            </w:r>
          </w:p>
        </w:tc>
      </w:tr>
      <w:tr w:rsidR="00E435D2" w:rsidRPr="00E435D2" w:rsidTr="00E43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
        </w:trPr>
        <w:tc>
          <w:tcPr>
            <w:tcW w:w="3510" w:type="dxa"/>
          </w:tcPr>
          <w:p w:rsidR="00E435D2" w:rsidRPr="00E435D2" w:rsidRDefault="00E435D2" w:rsidP="00E435D2">
            <w:pPr>
              <w:autoSpaceDE w:val="0"/>
              <w:autoSpaceDN w:val="0"/>
              <w:adjustRightInd w:val="0"/>
              <w:spacing w:after="0" w:line="240" w:lineRule="auto"/>
              <w:rPr>
                <w:rFonts w:cs="Garamond"/>
                <w:color w:val="000000"/>
              </w:rPr>
            </w:pPr>
            <w:r w:rsidRPr="00E435D2">
              <w:rPr>
                <w:rFonts w:cs="Garamond"/>
                <w:color w:val="000000"/>
              </w:rPr>
              <w:t xml:space="preserve">Probabilité globale de la durabilité </w:t>
            </w:r>
          </w:p>
        </w:tc>
        <w:tc>
          <w:tcPr>
            <w:tcW w:w="2410" w:type="dxa"/>
          </w:tcPr>
          <w:p w:rsidR="00E435D2" w:rsidRPr="00E435D2" w:rsidRDefault="00755753" w:rsidP="00E435D2">
            <w:pPr>
              <w:autoSpaceDE w:val="0"/>
              <w:autoSpaceDN w:val="0"/>
              <w:adjustRightInd w:val="0"/>
              <w:spacing w:after="0" w:line="240" w:lineRule="auto"/>
              <w:rPr>
                <w:rFonts w:cs="Garamond"/>
                <w:color w:val="000000"/>
              </w:rPr>
            </w:pPr>
            <w:r>
              <w:rPr>
                <w:rFonts w:cs="Garamond"/>
                <w:b/>
                <w:bCs/>
                <w:color w:val="000000"/>
              </w:rPr>
              <w:t>MP</w:t>
            </w:r>
          </w:p>
        </w:tc>
      </w:tr>
    </w:tbl>
    <w:p w:rsidR="004972B4" w:rsidRPr="00AD1A5C" w:rsidRDefault="004972B4" w:rsidP="00AD1A5C">
      <w:pPr>
        <w:autoSpaceDE w:val="0"/>
        <w:autoSpaceDN w:val="0"/>
        <w:adjustRightInd w:val="0"/>
        <w:spacing w:after="0" w:line="240" w:lineRule="auto"/>
        <w:rPr>
          <w:rFonts w:cs="ACaslonPro-Regular"/>
          <w:color w:val="000000"/>
        </w:rPr>
      </w:pPr>
    </w:p>
    <w:p w:rsidR="00AD1A5C" w:rsidRPr="004972B4" w:rsidRDefault="004972B4" w:rsidP="004972B4">
      <w:pPr>
        <w:pStyle w:val="Titre3"/>
        <w:spacing w:before="0"/>
        <w:rPr>
          <w:rFonts w:asciiTheme="minorHAnsi" w:hAnsiTheme="minorHAnsi" w:cs="ACaslonPro-Regular"/>
          <w:color w:val="auto"/>
        </w:rPr>
      </w:pPr>
      <w:bookmarkStart w:id="61" w:name="_Toc425414595"/>
      <w:r w:rsidRPr="004972B4">
        <w:rPr>
          <w:rFonts w:asciiTheme="minorHAnsi" w:hAnsiTheme="minorHAnsi" w:cs="Calibri"/>
          <w:color w:val="auto"/>
        </w:rPr>
        <w:t xml:space="preserve">III.3.7 </w:t>
      </w:r>
      <w:r w:rsidR="00AD1A5C" w:rsidRPr="004972B4">
        <w:rPr>
          <w:rFonts w:asciiTheme="minorHAnsi" w:hAnsiTheme="minorHAnsi" w:cs="ACaslonPro-Regular"/>
          <w:color w:val="auto"/>
        </w:rPr>
        <w:t>Impact</w:t>
      </w:r>
      <w:bookmarkEnd w:id="61"/>
    </w:p>
    <w:p w:rsidR="00461FF2" w:rsidRPr="00461FF2" w:rsidRDefault="00461FF2" w:rsidP="00461FF2">
      <w:pPr>
        <w:autoSpaceDE w:val="0"/>
        <w:autoSpaceDN w:val="0"/>
        <w:adjustRightInd w:val="0"/>
        <w:spacing w:after="0" w:line="240" w:lineRule="auto"/>
        <w:jc w:val="both"/>
        <w:rPr>
          <w:rFonts w:cs="Garamond"/>
          <w:color w:val="000000"/>
        </w:rPr>
      </w:pPr>
      <w:r w:rsidRPr="00461FF2">
        <w:rPr>
          <w:rFonts w:cs="Garamond"/>
          <w:b/>
          <w:bCs/>
          <w:color w:val="000000"/>
        </w:rPr>
        <w:t xml:space="preserve">Changements de comportements relevés </w:t>
      </w:r>
    </w:p>
    <w:p w:rsidR="00461FF2" w:rsidRPr="00461FF2" w:rsidRDefault="00461FF2" w:rsidP="00461FF2">
      <w:pPr>
        <w:autoSpaceDE w:val="0"/>
        <w:autoSpaceDN w:val="0"/>
        <w:adjustRightInd w:val="0"/>
        <w:spacing w:after="0" w:line="240" w:lineRule="auto"/>
        <w:jc w:val="both"/>
        <w:rPr>
          <w:rFonts w:cs="Garamond"/>
          <w:color w:val="000000"/>
        </w:rPr>
      </w:pPr>
      <w:r w:rsidRPr="00461FF2">
        <w:rPr>
          <w:rFonts w:cs="Garamond"/>
          <w:color w:val="000000"/>
        </w:rPr>
        <w:t xml:space="preserve">La sensibilisation à l’intégration </w:t>
      </w:r>
      <w:r>
        <w:rPr>
          <w:rFonts w:cs="Garamond"/>
          <w:color w:val="000000"/>
        </w:rPr>
        <w:t xml:space="preserve">de la démarche IEL </w:t>
      </w:r>
      <w:r w:rsidRPr="00461FF2">
        <w:rPr>
          <w:rFonts w:cs="Garamond"/>
          <w:color w:val="000000"/>
        </w:rPr>
        <w:t>dans la planification stratégique a permis aux parties prenantes</w:t>
      </w:r>
      <w:r>
        <w:rPr>
          <w:rFonts w:cs="Garamond"/>
          <w:color w:val="000000"/>
        </w:rPr>
        <w:t>, à des niveaux différents de responsabilité et d’interventiondans le développement local de</w:t>
      </w:r>
      <w:r w:rsidR="00B21579">
        <w:rPr>
          <w:rFonts w:cs="Garamond"/>
          <w:color w:val="000000"/>
        </w:rPr>
        <w:t xml:space="preserve"> prendre conscience des interactions entre leurs activités et </w:t>
      </w:r>
      <w:r>
        <w:rPr>
          <w:rFonts w:cs="Garamond"/>
          <w:color w:val="000000"/>
        </w:rPr>
        <w:t>les</w:t>
      </w:r>
      <w:r w:rsidRPr="00461FF2">
        <w:rPr>
          <w:rFonts w:cs="Garamond"/>
          <w:color w:val="000000"/>
        </w:rPr>
        <w:t xml:space="preserve"> e</w:t>
      </w:r>
      <w:r w:rsidR="00B21579">
        <w:rPr>
          <w:rFonts w:cs="Garamond"/>
          <w:color w:val="000000"/>
        </w:rPr>
        <w:t>njeux environnementaux mondiaux. Le changement induit par cette prise de conscience se traduit par l’adoption et l’appropriation de la démarche IEL et son application dans la planification stratégique en mettant en place un plan d’actions budgétisé des actions environnementales et des indicateurs de suivi.</w:t>
      </w:r>
    </w:p>
    <w:p w:rsidR="00461FF2" w:rsidRPr="00461FF2" w:rsidRDefault="00461FF2" w:rsidP="00461FF2">
      <w:pPr>
        <w:autoSpaceDE w:val="0"/>
        <w:autoSpaceDN w:val="0"/>
        <w:adjustRightInd w:val="0"/>
        <w:spacing w:after="0" w:line="240" w:lineRule="auto"/>
        <w:jc w:val="both"/>
        <w:rPr>
          <w:rFonts w:cs="Garamond"/>
          <w:color w:val="000000"/>
        </w:rPr>
      </w:pPr>
    </w:p>
    <w:p w:rsidR="00461FF2" w:rsidRPr="00461FF2" w:rsidRDefault="00461FF2" w:rsidP="00461FF2">
      <w:pPr>
        <w:autoSpaceDE w:val="0"/>
        <w:autoSpaceDN w:val="0"/>
        <w:adjustRightInd w:val="0"/>
        <w:spacing w:after="0" w:line="240" w:lineRule="auto"/>
        <w:jc w:val="both"/>
        <w:rPr>
          <w:rFonts w:cs="Garamond"/>
          <w:color w:val="000000"/>
        </w:rPr>
      </w:pPr>
      <w:r w:rsidRPr="00461FF2">
        <w:rPr>
          <w:rFonts w:cs="Garamond"/>
          <w:b/>
          <w:bCs/>
          <w:color w:val="000000"/>
        </w:rPr>
        <w:t xml:space="preserve">Améliorations au niveau national de l’environnement et minimisation du stress environnemental </w:t>
      </w:r>
    </w:p>
    <w:p w:rsidR="00461FF2" w:rsidRDefault="00B21579" w:rsidP="00461FF2">
      <w:pPr>
        <w:autoSpaceDE w:val="0"/>
        <w:autoSpaceDN w:val="0"/>
        <w:adjustRightInd w:val="0"/>
        <w:spacing w:after="0" w:line="240" w:lineRule="auto"/>
        <w:jc w:val="both"/>
        <w:rPr>
          <w:rFonts w:cs="Garamond"/>
          <w:color w:val="000000"/>
        </w:rPr>
      </w:pPr>
      <w:r>
        <w:rPr>
          <w:rFonts w:cs="Garamond"/>
          <w:color w:val="000000"/>
        </w:rPr>
        <w:t xml:space="preserve">Les projets de développement local tiendront compte, grâce à l’approche IEL, des enjeux environnementaux locaux et globaux et mettront en œuvre les mesures d’atténuation identifiées lors de la planification stratégique. Ils contribueront ainsi </w:t>
      </w:r>
      <w:r w:rsidR="00461FF2" w:rsidRPr="00461FF2">
        <w:rPr>
          <w:rFonts w:cs="Garamond"/>
          <w:color w:val="000000"/>
        </w:rPr>
        <w:t>à la minimisation du</w:t>
      </w:r>
      <w:r>
        <w:rPr>
          <w:rFonts w:cs="Garamond"/>
          <w:color w:val="000000"/>
        </w:rPr>
        <w:t xml:space="preserve"> stress environnemental du pays</w:t>
      </w:r>
      <w:r w:rsidR="00461FF2" w:rsidRPr="00461FF2">
        <w:rPr>
          <w:rFonts w:cs="Garamond"/>
          <w:color w:val="000000"/>
        </w:rPr>
        <w:t xml:space="preserve">. </w:t>
      </w:r>
    </w:p>
    <w:p w:rsidR="00A43A7C" w:rsidRPr="00461FF2" w:rsidRDefault="00A43A7C" w:rsidP="00461FF2">
      <w:pPr>
        <w:autoSpaceDE w:val="0"/>
        <w:autoSpaceDN w:val="0"/>
        <w:adjustRightInd w:val="0"/>
        <w:spacing w:after="0" w:line="240" w:lineRule="auto"/>
        <w:jc w:val="both"/>
        <w:rPr>
          <w:rFonts w:cs="Garamond"/>
          <w:color w:val="000000"/>
        </w:rPr>
      </w:pPr>
    </w:p>
    <w:p w:rsidR="00461FF2" w:rsidRDefault="00461FF2" w:rsidP="00461FF2">
      <w:pPr>
        <w:autoSpaceDE w:val="0"/>
        <w:autoSpaceDN w:val="0"/>
        <w:adjustRightInd w:val="0"/>
        <w:spacing w:after="0" w:line="240" w:lineRule="auto"/>
        <w:jc w:val="both"/>
        <w:rPr>
          <w:rFonts w:ascii="Garamond" w:hAnsi="Garamond" w:cs="Garamond"/>
          <w:color w:val="000000"/>
        </w:rPr>
      </w:pPr>
      <w:r w:rsidRPr="00461FF2">
        <w:rPr>
          <w:rFonts w:cs="Garamond"/>
          <w:color w:val="000000"/>
        </w:rPr>
        <w:t xml:space="preserve">Toutefois, l’amélioration du statut environnemental se concrétisera à long terme après </w:t>
      </w:r>
      <w:r w:rsidR="005F6E81">
        <w:rPr>
          <w:rFonts w:cs="Garamond"/>
          <w:color w:val="000000"/>
        </w:rPr>
        <w:t>l’adoption par les conseils communaux des PCD verdis et leur mise en œuvre effective durant le prochain exercice communal.</w:t>
      </w:r>
    </w:p>
    <w:p w:rsidR="008926F2" w:rsidRPr="008926F2" w:rsidRDefault="008926F2" w:rsidP="00461FF2">
      <w:pPr>
        <w:autoSpaceDE w:val="0"/>
        <w:autoSpaceDN w:val="0"/>
        <w:adjustRightInd w:val="0"/>
        <w:spacing w:after="0" w:line="240" w:lineRule="auto"/>
        <w:jc w:val="both"/>
        <w:rPr>
          <w:rFonts w:cs="Garamond"/>
          <w:color w:val="000000"/>
        </w:rPr>
      </w:pPr>
    </w:p>
    <w:p w:rsidR="008926F2" w:rsidRPr="008926F2" w:rsidRDefault="008926F2" w:rsidP="00461FF2">
      <w:pPr>
        <w:autoSpaceDE w:val="0"/>
        <w:autoSpaceDN w:val="0"/>
        <w:adjustRightInd w:val="0"/>
        <w:spacing w:after="0" w:line="240" w:lineRule="auto"/>
        <w:jc w:val="both"/>
        <w:rPr>
          <w:rFonts w:cs="Garamond"/>
          <w:color w:val="000000"/>
        </w:rPr>
      </w:pPr>
      <w:r w:rsidRPr="008926F2">
        <w:rPr>
          <w:rFonts w:cs="Garamond"/>
          <w:color w:val="000000"/>
        </w:rPr>
        <w:t xml:space="preserve">L’impact socio-économique </w:t>
      </w:r>
      <w:r>
        <w:rPr>
          <w:rFonts w:cs="Garamond"/>
          <w:color w:val="000000"/>
        </w:rPr>
        <w:t>du projet n’est pas considéré dans cette analyse car le projet CB2 ne finance aucune activité économique.</w:t>
      </w:r>
    </w:p>
    <w:p w:rsidR="00461FF2" w:rsidRPr="008926F2" w:rsidRDefault="00461FF2" w:rsidP="00461FF2">
      <w:pPr>
        <w:autoSpaceDE w:val="0"/>
        <w:autoSpaceDN w:val="0"/>
        <w:adjustRightInd w:val="0"/>
        <w:spacing w:after="0" w:line="240" w:lineRule="auto"/>
        <w:rPr>
          <w:rFonts w:cs="Garamond"/>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1559"/>
      </w:tblGrid>
      <w:tr w:rsidR="00461FF2" w:rsidRPr="00461FF2" w:rsidTr="00F63F00">
        <w:trPr>
          <w:trHeight w:val="101"/>
        </w:trPr>
        <w:tc>
          <w:tcPr>
            <w:tcW w:w="4503" w:type="dxa"/>
          </w:tcPr>
          <w:p w:rsidR="00461FF2" w:rsidRPr="00F63F00" w:rsidRDefault="00461FF2" w:rsidP="00461FF2">
            <w:pPr>
              <w:autoSpaceDE w:val="0"/>
              <w:autoSpaceDN w:val="0"/>
              <w:adjustRightInd w:val="0"/>
              <w:spacing w:after="0" w:line="240" w:lineRule="auto"/>
              <w:rPr>
                <w:rFonts w:cs="Garamond"/>
                <w:color w:val="000000"/>
              </w:rPr>
            </w:pPr>
            <w:r w:rsidRPr="00F63F00">
              <w:rPr>
                <w:rFonts w:cs="Garamond"/>
                <w:color w:val="000000"/>
              </w:rPr>
              <w:t>Amélioration du statut environnemental</w:t>
            </w:r>
          </w:p>
        </w:tc>
        <w:tc>
          <w:tcPr>
            <w:tcW w:w="1559" w:type="dxa"/>
          </w:tcPr>
          <w:p w:rsidR="00461FF2" w:rsidRPr="00F63F00" w:rsidRDefault="005F6E81" w:rsidP="00461FF2">
            <w:pPr>
              <w:autoSpaceDE w:val="0"/>
              <w:autoSpaceDN w:val="0"/>
              <w:adjustRightInd w:val="0"/>
              <w:spacing w:after="0" w:line="240" w:lineRule="auto"/>
              <w:rPr>
                <w:rFonts w:cs="Garamond"/>
                <w:color w:val="000000"/>
              </w:rPr>
            </w:pPr>
            <w:r w:rsidRPr="00F63F00">
              <w:rPr>
                <w:rFonts w:cs="Garamond"/>
                <w:b/>
                <w:bCs/>
                <w:color w:val="000000"/>
              </w:rPr>
              <w:t>Minime</w:t>
            </w:r>
          </w:p>
        </w:tc>
      </w:tr>
      <w:tr w:rsidR="00F63F00" w:rsidRPr="005F6E81" w:rsidTr="00F63F00">
        <w:trPr>
          <w:trHeight w:val="101"/>
        </w:trPr>
        <w:tc>
          <w:tcPr>
            <w:tcW w:w="4503" w:type="dxa"/>
          </w:tcPr>
          <w:p w:rsidR="005F6E81" w:rsidRPr="005F6E81" w:rsidRDefault="005F6E81" w:rsidP="005F6E81">
            <w:pPr>
              <w:autoSpaceDE w:val="0"/>
              <w:autoSpaceDN w:val="0"/>
              <w:adjustRightInd w:val="0"/>
              <w:spacing w:after="0" w:line="240" w:lineRule="auto"/>
              <w:rPr>
                <w:rFonts w:cs="Garamond"/>
                <w:color w:val="000000"/>
              </w:rPr>
            </w:pPr>
            <w:r w:rsidRPr="005F6E81">
              <w:rPr>
                <w:rFonts w:cs="Garamond"/>
                <w:color w:val="000000"/>
              </w:rPr>
              <w:t xml:space="preserve">Réduction du stress sur l’environnement </w:t>
            </w:r>
          </w:p>
        </w:tc>
        <w:tc>
          <w:tcPr>
            <w:tcW w:w="1559" w:type="dxa"/>
          </w:tcPr>
          <w:p w:rsidR="005F6E81" w:rsidRPr="005F6E81" w:rsidRDefault="00BF4F3C" w:rsidP="005F6E81">
            <w:pPr>
              <w:autoSpaceDE w:val="0"/>
              <w:autoSpaceDN w:val="0"/>
              <w:adjustRightInd w:val="0"/>
              <w:spacing w:after="0" w:line="240" w:lineRule="auto"/>
              <w:rPr>
                <w:rFonts w:cs="Garamond"/>
                <w:b/>
                <w:bCs/>
                <w:color w:val="000000"/>
              </w:rPr>
            </w:pPr>
            <w:r w:rsidRPr="00F63F00">
              <w:rPr>
                <w:rFonts w:cs="Garamond"/>
                <w:b/>
                <w:bCs/>
                <w:color w:val="000000"/>
              </w:rPr>
              <w:t>Significatif</w:t>
            </w:r>
          </w:p>
        </w:tc>
      </w:tr>
      <w:tr w:rsidR="005F6E81" w:rsidRPr="005F6E81" w:rsidTr="00F63F00">
        <w:trPr>
          <w:trHeight w:val="101"/>
        </w:trPr>
        <w:tc>
          <w:tcPr>
            <w:tcW w:w="4503" w:type="dxa"/>
          </w:tcPr>
          <w:p w:rsidR="005F6E81" w:rsidRPr="005F6E81" w:rsidRDefault="005F6E81" w:rsidP="005F6E81">
            <w:pPr>
              <w:autoSpaceDE w:val="0"/>
              <w:autoSpaceDN w:val="0"/>
              <w:adjustRightInd w:val="0"/>
              <w:spacing w:after="0" w:line="240" w:lineRule="auto"/>
              <w:rPr>
                <w:rFonts w:cs="Garamond"/>
                <w:color w:val="000000"/>
              </w:rPr>
            </w:pPr>
            <w:r w:rsidRPr="005F6E81">
              <w:rPr>
                <w:rFonts w:cs="Garamond"/>
                <w:color w:val="000000"/>
              </w:rPr>
              <w:t xml:space="preserve">Progrès envers le changement du stress/statut </w:t>
            </w:r>
          </w:p>
        </w:tc>
        <w:tc>
          <w:tcPr>
            <w:tcW w:w="1559" w:type="dxa"/>
          </w:tcPr>
          <w:p w:rsidR="005F6E81" w:rsidRPr="005F6E81" w:rsidRDefault="00BF4F3C" w:rsidP="005F6E81">
            <w:pPr>
              <w:autoSpaceDE w:val="0"/>
              <w:autoSpaceDN w:val="0"/>
              <w:adjustRightInd w:val="0"/>
              <w:spacing w:after="0" w:line="240" w:lineRule="auto"/>
              <w:rPr>
                <w:rFonts w:cs="Garamond"/>
                <w:color w:val="000000"/>
              </w:rPr>
            </w:pPr>
            <w:r w:rsidRPr="00F63F00">
              <w:rPr>
                <w:rFonts w:cs="Garamond"/>
                <w:b/>
                <w:bCs/>
                <w:color w:val="000000"/>
              </w:rPr>
              <w:t>Significatif</w:t>
            </w:r>
          </w:p>
        </w:tc>
      </w:tr>
    </w:tbl>
    <w:p w:rsidR="00F63F00" w:rsidRDefault="00F63F00" w:rsidP="00F63F00">
      <w:pPr>
        <w:pStyle w:val="Titre1"/>
        <w:spacing w:before="0"/>
        <w:rPr>
          <w:rFonts w:asciiTheme="minorHAnsi" w:hAnsiTheme="minorHAnsi" w:cs="MyriadPro-Bold"/>
          <w:bCs w:val="0"/>
          <w:color w:val="auto"/>
          <w:sz w:val="22"/>
          <w:szCs w:val="22"/>
        </w:rPr>
      </w:pPr>
    </w:p>
    <w:p w:rsidR="00AD1A5C" w:rsidRPr="009463D2" w:rsidRDefault="009463D2" w:rsidP="00F63F00">
      <w:pPr>
        <w:pStyle w:val="Titre1"/>
        <w:spacing w:before="0"/>
        <w:rPr>
          <w:rFonts w:asciiTheme="minorHAnsi" w:hAnsiTheme="minorHAnsi" w:cs="MyriadPro-Bold"/>
          <w:bCs w:val="0"/>
          <w:color w:val="auto"/>
          <w:sz w:val="22"/>
          <w:szCs w:val="22"/>
        </w:rPr>
      </w:pPr>
      <w:bookmarkStart w:id="62" w:name="_Toc425414596"/>
      <w:r w:rsidRPr="009463D2">
        <w:rPr>
          <w:rFonts w:asciiTheme="minorHAnsi" w:hAnsiTheme="minorHAnsi" w:cs="MyriadPro-Bold"/>
          <w:bCs w:val="0"/>
          <w:color w:val="auto"/>
          <w:sz w:val="22"/>
          <w:szCs w:val="22"/>
        </w:rPr>
        <w:t>IV</w:t>
      </w:r>
      <w:r w:rsidR="00AD1A5C" w:rsidRPr="009463D2">
        <w:rPr>
          <w:rFonts w:asciiTheme="minorHAnsi" w:hAnsiTheme="minorHAnsi" w:cs="MyriadPro-Bold"/>
          <w:bCs w:val="0"/>
          <w:color w:val="auto"/>
          <w:sz w:val="22"/>
          <w:szCs w:val="22"/>
        </w:rPr>
        <w:t>. Conclusions</w:t>
      </w:r>
      <w:bookmarkEnd w:id="62"/>
    </w:p>
    <w:p w:rsidR="00375BA9" w:rsidRDefault="00375BA9" w:rsidP="00375BA9">
      <w:pPr>
        <w:autoSpaceDE w:val="0"/>
        <w:autoSpaceDN w:val="0"/>
        <w:adjustRightInd w:val="0"/>
        <w:spacing w:after="0" w:line="240" w:lineRule="auto"/>
        <w:jc w:val="both"/>
        <w:rPr>
          <w:rFonts w:cs="MyriadPro-Bold"/>
          <w:bCs/>
          <w:color w:val="000000"/>
        </w:rPr>
      </w:pPr>
      <w:r w:rsidRPr="007625D5">
        <w:rPr>
          <w:rFonts w:cs="MyriadPro-Bold"/>
          <w:bCs/>
          <w:color w:val="000000"/>
        </w:rPr>
        <w:t>Le projet CB2 répond à une priorité nationale de renforcement des capacités des acteurs locaux (collectivités et autorités) pour leur permettre de mieux traduire par des actions concrètes, les engagements nationaux à l’égard des trois Conventions de Rio en actions locales concrètes.</w:t>
      </w:r>
    </w:p>
    <w:p w:rsidR="00375BA9" w:rsidRDefault="00375BA9" w:rsidP="00375BA9">
      <w:pPr>
        <w:autoSpaceDE w:val="0"/>
        <w:autoSpaceDN w:val="0"/>
        <w:adjustRightInd w:val="0"/>
        <w:spacing w:after="0" w:line="240" w:lineRule="auto"/>
        <w:jc w:val="both"/>
        <w:rPr>
          <w:rFonts w:cs="MyriadPro-Bold"/>
          <w:bCs/>
          <w:color w:val="000000"/>
        </w:rPr>
      </w:pPr>
    </w:p>
    <w:p w:rsidR="00375BA9" w:rsidRDefault="00375BA9" w:rsidP="00375BA9">
      <w:pPr>
        <w:autoSpaceDE w:val="0"/>
        <w:autoSpaceDN w:val="0"/>
        <w:adjustRightInd w:val="0"/>
        <w:spacing w:after="0" w:line="240" w:lineRule="auto"/>
        <w:jc w:val="both"/>
        <w:rPr>
          <w:rFonts w:cs="MyriadPro-Bold"/>
          <w:bCs/>
          <w:color w:val="000000"/>
        </w:rPr>
      </w:pPr>
      <w:r>
        <w:rPr>
          <w:rFonts w:cs="MyriadPro-Bold"/>
          <w:bCs/>
          <w:color w:val="000000"/>
        </w:rPr>
        <w:t>Le projet CB2 est un projet ambitieux dans ses objectifs et ses résultats escomptés eu regard aux ressources qui lui sont allouées. En effet, l</w:t>
      </w:r>
      <w:r w:rsidRPr="00733C02">
        <w:rPr>
          <w:rFonts w:cs="MyriadPro-Bold"/>
          <w:bCs/>
          <w:color w:val="000000"/>
        </w:rPr>
        <w:t xml:space="preserve">’objectif du projet </w:t>
      </w:r>
      <w:r>
        <w:rPr>
          <w:rFonts w:cs="MyriadPro-Bold"/>
          <w:bCs/>
          <w:color w:val="000000"/>
        </w:rPr>
        <w:t>étant</w:t>
      </w:r>
      <w:r w:rsidRPr="00733C02">
        <w:rPr>
          <w:rFonts w:cs="MyriadPro-Bold"/>
          <w:bCs/>
          <w:color w:val="000000"/>
        </w:rPr>
        <w:t xml:space="preserve"> d’intégrer les objectifs </w:t>
      </w:r>
      <w:r>
        <w:rPr>
          <w:rFonts w:cs="MyriadPro-Bold"/>
          <w:bCs/>
          <w:color w:val="000000"/>
        </w:rPr>
        <w:t>e</w:t>
      </w:r>
      <w:r w:rsidRPr="00733C02">
        <w:rPr>
          <w:rFonts w:cs="MyriadPro-Bold"/>
          <w:bCs/>
          <w:color w:val="000000"/>
        </w:rPr>
        <w:t>nvironnementaux mondiaux dans les programmes de</w:t>
      </w:r>
      <w:r w:rsidRPr="00091FF1">
        <w:rPr>
          <w:rFonts w:cs="MyriadPro-Bold"/>
          <w:bCs/>
          <w:color w:val="000000"/>
        </w:rPr>
        <w:t xml:space="preserve"> l’Initiative Nationale pour le Développement Humain</w:t>
      </w:r>
      <w:r>
        <w:rPr>
          <w:rFonts w:cs="MyriadPro-Bold"/>
          <w:bCs/>
          <w:color w:val="000000"/>
        </w:rPr>
        <w:t xml:space="preserve"> (</w:t>
      </w:r>
      <w:r w:rsidRPr="00733C02">
        <w:rPr>
          <w:rFonts w:cs="MyriadPro-Bold"/>
          <w:bCs/>
          <w:color w:val="000000"/>
        </w:rPr>
        <w:t>INDH</w:t>
      </w:r>
      <w:r>
        <w:rPr>
          <w:rFonts w:cs="MyriadPro-Bold"/>
          <w:bCs/>
          <w:color w:val="000000"/>
        </w:rPr>
        <w:t>)</w:t>
      </w:r>
      <w:r w:rsidRPr="00733C02">
        <w:rPr>
          <w:rFonts w:cs="MyriadPro-Bold"/>
          <w:bCs/>
          <w:color w:val="000000"/>
        </w:rPr>
        <w:t xml:space="preserve"> et dans la planification stratégique locale (</w:t>
      </w:r>
      <w:r>
        <w:rPr>
          <w:rFonts w:cs="MyriadPro-Bold"/>
          <w:bCs/>
          <w:color w:val="000000"/>
        </w:rPr>
        <w:t xml:space="preserve">Plan communaux de développement - </w:t>
      </w:r>
      <w:r w:rsidRPr="00733C02">
        <w:rPr>
          <w:rFonts w:cs="MyriadPro-Bold"/>
          <w:bCs/>
          <w:color w:val="000000"/>
        </w:rPr>
        <w:t>PCD), ainsi que dans les process</w:t>
      </w:r>
      <w:r>
        <w:rPr>
          <w:rFonts w:cs="MyriadPro-Bold"/>
          <w:bCs/>
          <w:color w:val="000000"/>
        </w:rPr>
        <w:t xml:space="preserve">us de budgétisation et de suivi, aurait pu se limiter dans sa mise en œuvre à une seule région et une dizaine de communes pour piloter la démarche d’intégration de l’environnement mondial à l’échelle locale (démarche IEL) ; d’autant plus que le ProDoc ne spécifiait pas l’étendue de la zone d’intervention. Cependant, l’équipe du projet s’est assigné la tâche de développer le projet au niveau de trois régions et 35 communes pilotes. </w:t>
      </w:r>
    </w:p>
    <w:p w:rsidR="00375BA9" w:rsidRDefault="00375BA9" w:rsidP="00375BA9">
      <w:pPr>
        <w:autoSpaceDE w:val="0"/>
        <w:autoSpaceDN w:val="0"/>
        <w:adjustRightInd w:val="0"/>
        <w:spacing w:after="0" w:line="240" w:lineRule="auto"/>
        <w:jc w:val="both"/>
        <w:rPr>
          <w:rFonts w:cs="MyriadPro-Bold"/>
          <w:bCs/>
          <w:color w:val="000000"/>
        </w:rPr>
      </w:pPr>
      <w:r>
        <w:rPr>
          <w:rFonts w:cs="MyriadPro-Bold"/>
          <w:bCs/>
          <w:color w:val="000000"/>
        </w:rPr>
        <w:lastRenderedPageBreak/>
        <w:t xml:space="preserve">La gestion efficace du projet par les membres de l’unité de gestion du projet (UGP) avec l’appui du PNUD a permis </w:t>
      </w:r>
      <w:r w:rsidRPr="007625D5">
        <w:rPr>
          <w:rFonts w:cs="MyriadPro-Bold"/>
          <w:bCs/>
          <w:color w:val="000000"/>
        </w:rPr>
        <w:t>d’utiliser de manière très efficiente les budgets alloués et d’at</w:t>
      </w:r>
      <w:r>
        <w:rPr>
          <w:rFonts w:cs="MyriadPro-Bold"/>
          <w:bCs/>
          <w:color w:val="000000"/>
        </w:rPr>
        <w:t>teindre les résultats escomptés qui sont résumés comme suit :</w:t>
      </w:r>
    </w:p>
    <w:p w:rsidR="00375BA9" w:rsidRDefault="00375BA9" w:rsidP="00375BA9">
      <w:pPr>
        <w:autoSpaceDE w:val="0"/>
        <w:autoSpaceDN w:val="0"/>
        <w:adjustRightInd w:val="0"/>
        <w:spacing w:after="0" w:line="240" w:lineRule="auto"/>
        <w:jc w:val="both"/>
        <w:rPr>
          <w:rFonts w:cs="MyriadPro-Bold"/>
          <w:bCs/>
          <w:color w:val="000000"/>
        </w:rPr>
      </w:pPr>
    </w:p>
    <w:p w:rsidR="00375BA9" w:rsidRPr="00850870" w:rsidRDefault="00375BA9" w:rsidP="00375BA9">
      <w:pPr>
        <w:pStyle w:val="Paragraphedeliste"/>
        <w:numPr>
          <w:ilvl w:val="0"/>
          <w:numId w:val="20"/>
        </w:numPr>
        <w:autoSpaceDE w:val="0"/>
        <w:autoSpaceDN w:val="0"/>
        <w:adjustRightInd w:val="0"/>
        <w:spacing w:after="0" w:line="240" w:lineRule="auto"/>
        <w:jc w:val="both"/>
        <w:rPr>
          <w:rFonts w:cs="MyriadPro-Bold"/>
          <w:bCs/>
          <w:color w:val="000000"/>
        </w:rPr>
      </w:pPr>
      <w:r w:rsidRPr="00850870">
        <w:rPr>
          <w:rFonts w:cs="MyriadPro-Bold"/>
          <w:bCs/>
          <w:color w:val="000000"/>
        </w:rPr>
        <w:t>Le cadre institutionnel pour l’intégration de la gestion des problèmes d’environnement mondial dans les procédures de planification et de suivi de l’INDH et de planification stratégique locale est développé</w:t>
      </w:r>
      <w:r>
        <w:rPr>
          <w:rFonts w:cs="MyriadPro-Bold"/>
          <w:bCs/>
          <w:color w:val="000000"/>
        </w:rPr>
        <w:t>.</w:t>
      </w:r>
    </w:p>
    <w:p w:rsidR="00375BA9" w:rsidRDefault="00375BA9" w:rsidP="00375BA9">
      <w:pPr>
        <w:pStyle w:val="Paragraphedeliste"/>
        <w:autoSpaceDE w:val="0"/>
        <w:autoSpaceDN w:val="0"/>
        <w:adjustRightInd w:val="0"/>
        <w:spacing w:after="0" w:line="240" w:lineRule="auto"/>
        <w:ind w:left="1068"/>
        <w:jc w:val="both"/>
        <w:rPr>
          <w:rFonts w:cs="MyriadPro-Bold"/>
          <w:bCs/>
          <w:color w:val="000000"/>
        </w:rPr>
      </w:pPr>
      <w:r w:rsidRPr="00850870">
        <w:rPr>
          <w:rFonts w:cs="MyriadPro-Bold"/>
          <w:bCs/>
          <w:color w:val="000000"/>
          <w:u w:val="single"/>
        </w:rPr>
        <w:t>Indicateur 1</w:t>
      </w:r>
      <w:r>
        <w:rPr>
          <w:rFonts w:cs="MyriadPro-Bold"/>
          <w:bCs/>
          <w:color w:val="000000"/>
        </w:rPr>
        <w:t xml:space="preserve"> : </w:t>
      </w:r>
      <w:r w:rsidRPr="00850870">
        <w:rPr>
          <w:rFonts w:cs="MyriadPro-Bold"/>
          <w:bCs/>
          <w:color w:val="000000"/>
        </w:rPr>
        <w:t>Le nombre d’outils ciblés par l’indicateur 1 a été dépassé. Cependant, les acteurs clés de l’INDH n’ont pas adopté ces outils.</w:t>
      </w:r>
    </w:p>
    <w:p w:rsidR="00375BA9" w:rsidRPr="00850870" w:rsidRDefault="00375BA9" w:rsidP="00375BA9">
      <w:pPr>
        <w:pStyle w:val="Paragraphedeliste"/>
        <w:autoSpaceDE w:val="0"/>
        <w:autoSpaceDN w:val="0"/>
        <w:adjustRightInd w:val="0"/>
        <w:spacing w:after="0" w:line="240" w:lineRule="auto"/>
        <w:ind w:left="1068"/>
        <w:jc w:val="both"/>
        <w:rPr>
          <w:rFonts w:cs="MyriadPro-Bold"/>
          <w:bCs/>
          <w:color w:val="000000"/>
        </w:rPr>
      </w:pPr>
      <w:r w:rsidRPr="00850870">
        <w:rPr>
          <w:rFonts w:cs="MyriadPro-Bold"/>
          <w:bCs/>
          <w:color w:val="000000"/>
          <w:u w:val="single"/>
        </w:rPr>
        <w:t>Indicateur 2</w:t>
      </w:r>
      <w:r w:rsidRPr="00850870">
        <w:rPr>
          <w:rFonts w:cs="MyriadPro-Bold"/>
          <w:bCs/>
          <w:color w:val="000000"/>
        </w:rPr>
        <w:t xml:space="preserve"> : La création des GREET constitue un mécanisme efficace de coordination entre les institutions clés concernées par l’intégration de la démarche IEL.</w:t>
      </w:r>
    </w:p>
    <w:p w:rsidR="00375BA9" w:rsidRPr="00850870" w:rsidRDefault="00375BA9" w:rsidP="00375BA9">
      <w:pPr>
        <w:pStyle w:val="Paragraphedeliste"/>
        <w:autoSpaceDE w:val="0"/>
        <w:autoSpaceDN w:val="0"/>
        <w:adjustRightInd w:val="0"/>
        <w:spacing w:after="0" w:line="240" w:lineRule="auto"/>
        <w:ind w:left="1068"/>
        <w:jc w:val="both"/>
        <w:rPr>
          <w:rFonts w:cs="MyriadPro-Bold"/>
          <w:bCs/>
          <w:color w:val="000000"/>
        </w:rPr>
      </w:pPr>
      <w:r w:rsidRPr="00850870">
        <w:rPr>
          <w:rFonts w:cs="MyriadPro-Bold"/>
          <w:bCs/>
          <w:color w:val="000000"/>
          <w:u w:val="single"/>
        </w:rPr>
        <w:t>Indicateur 3</w:t>
      </w:r>
      <w:r w:rsidRPr="00850870">
        <w:rPr>
          <w:rFonts w:cs="MyriadPro-Bold"/>
          <w:bCs/>
          <w:color w:val="000000"/>
        </w:rPr>
        <w:t xml:space="preserve"> : Les PCD des communes pilotes ont été développés à la lumière de la démarche IEL. Les indicateurs de suivi ont été identifiés pour chacun d’entre eux. Les termes de références pour la réalisation de l’étude de verdissement des SIC et l’identification des modalités de jonction entre le SIC et le SIRE, sont élaborés. Cependant, ces PCD n’ont pas encore été adoptés par les conseils des communes. De ce fait, les indicateurs ne sont pas pris en compte dans les SIC. En outre, aucune</w:t>
      </w:r>
      <w:r>
        <w:rPr>
          <w:rFonts w:cs="MyriadPro-Bold"/>
          <w:bCs/>
          <w:color w:val="000000"/>
        </w:rPr>
        <w:t xml:space="preserve"> Initiative Locale de Développement Humain(</w:t>
      </w:r>
      <w:r w:rsidRPr="00850870">
        <w:rPr>
          <w:rFonts w:cs="MyriadPro-Bold"/>
          <w:bCs/>
          <w:color w:val="000000"/>
        </w:rPr>
        <w:t>ILDH</w:t>
      </w:r>
      <w:r>
        <w:rPr>
          <w:rFonts w:cs="MyriadPro-Bold"/>
          <w:bCs/>
          <w:color w:val="000000"/>
        </w:rPr>
        <w:t>)</w:t>
      </w:r>
      <w:r w:rsidRPr="00850870">
        <w:rPr>
          <w:rFonts w:cs="MyriadPro-Bold"/>
          <w:bCs/>
          <w:color w:val="000000"/>
        </w:rPr>
        <w:t xml:space="preserve"> n’a été élaborée en intégrant la démarche IEL.</w:t>
      </w:r>
    </w:p>
    <w:p w:rsidR="00375BA9" w:rsidRPr="00850870" w:rsidRDefault="00375BA9" w:rsidP="00375BA9">
      <w:pPr>
        <w:pStyle w:val="Paragraphedeliste"/>
        <w:numPr>
          <w:ilvl w:val="0"/>
          <w:numId w:val="20"/>
        </w:numPr>
        <w:autoSpaceDE w:val="0"/>
        <w:autoSpaceDN w:val="0"/>
        <w:adjustRightInd w:val="0"/>
        <w:spacing w:after="0" w:line="240" w:lineRule="auto"/>
        <w:jc w:val="both"/>
        <w:rPr>
          <w:rFonts w:cs="MyriadPro-Bold"/>
          <w:bCs/>
          <w:color w:val="000000"/>
        </w:rPr>
      </w:pPr>
      <w:r w:rsidRPr="00850870">
        <w:rPr>
          <w:rFonts w:cs="MyriadPro-Bold"/>
          <w:bCs/>
          <w:color w:val="000000"/>
        </w:rPr>
        <w:t>Les capacités d’intégration systématique des cibles environnementales mondiales dans la planification locale sont renforcées</w:t>
      </w:r>
    </w:p>
    <w:p w:rsidR="00375BA9" w:rsidRPr="00E13E4E" w:rsidRDefault="00375BA9" w:rsidP="00375BA9">
      <w:pPr>
        <w:autoSpaceDE w:val="0"/>
        <w:autoSpaceDN w:val="0"/>
        <w:adjustRightInd w:val="0"/>
        <w:spacing w:after="0" w:line="240" w:lineRule="auto"/>
        <w:ind w:left="1134"/>
        <w:jc w:val="both"/>
        <w:rPr>
          <w:rFonts w:cs="MyriadPro-Bold"/>
          <w:bCs/>
          <w:color w:val="000000"/>
        </w:rPr>
      </w:pPr>
      <w:r w:rsidRPr="00E13E4E">
        <w:rPr>
          <w:rFonts w:cs="MyriadPro-Bold"/>
          <w:bCs/>
          <w:color w:val="000000"/>
          <w:u w:val="single"/>
        </w:rPr>
        <w:t>Indicateur 1</w:t>
      </w:r>
      <w:r w:rsidRPr="00E13E4E">
        <w:rPr>
          <w:rFonts w:cs="MyriadPro-Bold"/>
          <w:bCs/>
          <w:color w:val="000000"/>
        </w:rPr>
        <w:t xml:space="preserve"> : 62 institutions et au moins 200 cadres disposent des capacités pour l’intégration de la démarche IEL au niveau des trois régions pilotes.</w:t>
      </w:r>
    </w:p>
    <w:p w:rsidR="00375BA9" w:rsidRPr="00E13E4E" w:rsidRDefault="00375BA9" w:rsidP="00375BA9">
      <w:pPr>
        <w:autoSpaceDE w:val="0"/>
        <w:autoSpaceDN w:val="0"/>
        <w:adjustRightInd w:val="0"/>
        <w:spacing w:after="0" w:line="240" w:lineRule="auto"/>
        <w:ind w:left="1134"/>
        <w:jc w:val="both"/>
        <w:rPr>
          <w:rFonts w:cs="MyriadPro-Bold"/>
          <w:bCs/>
          <w:color w:val="000000"/>
        </w:rPr>
      </w:pPr>
      <w:r w:rsidRPr="00E13E4E">
        <w:rPr>
          <w:rFonts w:cs="MyriadPro-Bold"/>
          <w:bCs/>
          <w:color w:val="000000"/>
          <w:u w:val="single"/>
        </w:rPr>
        <w:t>Indicateur 2</w:t>
      </w:r>
      <w:r w:rsidRPr="00E13E4E">
        <w:rPr>
          <w:rFonts w:cs="MyriadPro-Bold"/>
          <w:bCs/>
          <w:color w:val="000000"/>
        </w:rPr>
        <w:t xml:space="preserve"> : 31 PCD intègrent de manière systématique les priorités de l’environnement mondial. Cependant, aucune ILDH n’a intégré la démarche IEL.</w:t>
      </w:r>
    </w:p>
    <w:p w:rsidR="00375BA9" w:rsidRPr="00E13E4E" w:rsidRDefault="00375BA9" w:rsidP="00375BA9">
      <w:pPr>
        <w:autoSpaceDE w:val="0"/>
        <w:autoSpaceDN w:val="0"/>
        <w:adjustRightInd w:val="0"/>
        <w:spacing w:after="0" w:line="240" w:lineRule="auto"/>
        <w:ind w:left="1134"/>
        <w:jc w:val="both"/>
        <w:rPr>
          <w:rFonts w:cs="MyriadPro-Bold"/>
          <w:bCs/>
          <w:color w:val="000000"/>
        </w:rPr>
      </w:pPr>
      <w:r w:rsidRPr="00E13E4E">
        <w:rPr>
          <w:rFonts w:cs="MyriadPro-Bold"/>
          <w:bCs/>
          <w:color w:val="000000"/>
          <w:u w:val="single"/>
        </w:rPr>
        <w:t>Indicateur 3</w:t>
      </w:r>
      <w:r w:rsidRPr="00E13E4E">
        <w:rPr>
          <w:rFonts w:cs="MyriadPro-Bold"/>
          <w:bCs/>
          <w:color w:val="000000"/>
        </w:rPr>
        <w:t xml:space="preserve"> : Les PCD des communes pilotes qui ont intégré la démarche IEL présentent une budgétisation et une programmation annuelle. Cependant, ces PCD n’ont pas encore été soumis à l’adoption par les conseils communaux. En outre, aucune ILDH n’a intégré la démarche IEL.</w:t>
      </w:r>
    </w:p>
    <w:p w:rsidR="00375BA9" w:rsidRPr="00E13E4E" w:rsidRDefault="00375BA9" w:rsidP="00375BA9">
      <w:pPr>
        <w:autoSpaceDE w:val="0"/>
        <w:autoSpaceDN w:val="0"/>
        <w:adjustRightInd w:val="0"/>
        <w:spacing w:after="0" w:line="240" w:lineRule="auto"/>
        <w:ind w:left="1134"/>
        <w:jc w:val="both"/>
        <w:rPr>
          <w:rFonts w:cs="MyriadPro-Bold"/>
          <w:bCs/>
          <w:color w:val="000000"/>
        </w:rPr>
      </w:pPr>
      <w:r w:rsidRPr="00E13E4E">
        <w:rPr>
          <w:rFonts w:cs="MyriadPro-Bold"/>
          <w:bCs/>
          <w:color w:val="000000"/>
          <w:u w:val="single"/>
        </w:rPr>
        <w:t>Indicateur 4</w:t>
      </w:r>
      <w:r w:rsidRPr="00E13E4E">
        <w:rPr>
          <w:rFonts w:cs="MyriadPro-Bold"/>
          <w:bCs/>
          <w:color w:val="000000"/>
        </w:rPr>
        <w:t xml:space="preserve"> : La stratégie de généralisation n’est pas élaborée à la date de l’évaluation finale du projet CB2. Elle est en cours. Cependant, le </w:t>
      </w:r>
      <w:r>
        <w:rPr>
          <w:rFonts w:cs="MyriadPro-Bold"/>
          <w:bCs/>
          <w:color w:val="000000"/>
        </w:rPr>
        <w:t>Ministère Délégué Chargé de l’Environnement (</w:t>
      </w:r>
      <w:r w:rsidRPr="00E13E4E">
        <w:rPr>
          <w:rFonts w:cs="MyriadPro-Bold"/>
          <w:bCs/>
          <w:color w:val="000000"/>
        </w:rPr>
        <w:t>MDCE</w:t>
      </w:r>
      <w:r>
        <w:rPr>
          <w:rFonts w:cs="MyriadPro-Bold"/>
          <w:bCs/>
          <w:color w:val="000000"/>
        </w:rPr>
        <w:t>)</w:t>
      </w:r>
      <w:r w:rsidRPr="00E13E4E">
        <w:rPr>
          <w:rFonts w:cs="MyriadPro-Bold"/>
          <w:bCs/>
          <w:color w:val="000000"/>
        </w:rPr>
        <w:t xml:space="preserve"> a budgétisé 1 MDH pour assurer la formation des formateurs sur les outils méthodologiques développés dans le cadre du projet CB2. Le MDCE est en contact avec la </w:t>
      </w:r>
      <w:r w:rsidRPr="00B60036">
        <w:rPr>
          <w:rFonts w:cs="MyriadPro-Bold"/>
          <w:bCs/>
          <w:color w:val="000000"/>
        </w:rPr>
        <w:t xml:space="preserve">Direction de la Formation des Cadres administratifs et techniques </w:t>
      </w:r>
      <w:r>
        <w:rPr>
          <w:rFonts w:cs="MyriadPro-Bold"/>
          <w:bCs/>
          <w:color w:val="000000"/>
        </w:rPr>
        <w:t>rattachée à la Direction Générale des Collectivités Locales (</w:t>
      </w:r>
      <w:r w:rsidRPr="00E13E4E">
        <w:rPr>
          <w:rFonts w:cs="MyriadPro-Bold"/>
          <w:bCs/>
          <w:color w:val="000000"/>
        </w:rPr>
        <w:t>DFCAT-DGCL</w:t>
      </w:r>
      <w:r>
        <w:rPr>
          <w:rFonts w:cs="MyriadPro-Bold"/>
          <w:bCs/>
          <w:color w:val="000000"/>
        </w:rPr>
        <w:t>)</w:t>
      </w:r>
      <w:r w:rsidRPr="00E13E4E">
        <w:rPr>
          <w:rFonts w:cs="MyriadPro-Bold"/>
          <w:bCs/>
          <w:color w:val="000000"/>
        </w:rPr>
        <w:t xml:space="preserve"> pour élaborer le plan de formation des formateurs qui seront les 95 Agents de Développement Provincial-Préfectoral (ADP).</w:t>
      </w:r>
    </w:p>
    <w:p w:rsidR="00375BA9" w:rsidRPr="00091FF1" w:rsidRDefault="00375BA9" w:rsidP="00375BA9">
      <w:pPr>
        <w:autoSpaceDE w:val="0"/>
        <w:autoSpaceDN w:val="0"/>
        <w:adjustRightInd w:val="0"/>
        <w:spacing w:after="0" w:line="240" w:lineRule="auto"/>
        <w:jc w:val="both"/>
        <w:rPr>
          <w:rFonts w:cs="MyriadPro-Bold"/>
          <w:bCs/>
          <w:color w:val="000000"/>
        </w:rPr>
      </w:pPr>
      <w:r w:rsidRPr="00850870">
        <w:rPr>
          <w:rFonts w:cs="MyriadPro-Bold"/>
          <w:bCs/>
          <w:color w:val="000000"/>
        </w:rPr>
        <w:t>3.</w:t>
      </w:r>
      <w:r w:rsidRPr="00850870">
        <w:rPr>
          <w:rFonts w:cs="MyriadPro-Bold"/>
          <w:bCs/>
          <w:color w:val="000000"/>
        </w:rPr>
        <w:tab/>
        <w:t>Un système de gestion adaptive et des leçons tirées du projet établi</w:t>
      </w:r>
      <w:r w:rsidRPr="00091FF1">
        <w:rPr>
          <w:rFonts w:cs="MyriadPro-Bold"/>
          <w:bCs/>
          <w:color w:val="000000"/>
        </w:rPr>
        <w:t>.</w:t>
      </w:r>
    </w:p>
    <w:p w:rsidR="00375BA9" w:rsidRPr="007D5EFC" w:rsidRDefault="00375BA9" w:rsidP="00375BA9">
      <w:pPr>
        <w:autoSpaceDE w:val="0"/>
        <w:autoSpaceDN w:val="0"/>
        <w:adjustRightInd w:val="0"/>
        <w:spacing w:after="0" w:line="240" w:lineRule="auto"/>
        <w:ind w:left="1134"/>
        <w:jc w:val="both"/>
        <w:rPr>
          <w:rFonts w:cs="MyriadPro-Bold"/>
          <w:bCs/>
          <w:color w:val="000000"/>
        </w:rPr>
      </w:pPr>
      <w:r w:rsidRPr="007D5EFC">
        <w:rPr>
          <w:rFonts w:cs="MyriadPro-Bold"/>
          <w:bCs/>
          <w:color w:val="000000"/>
        </w:rPr>
        <w:t xml:space="preserve">Indicateur </w:t>
      </w:r>
      <w:r>
        <w:rPr>
          <w:rFonts w:cs="MyriadPro-Bold"/>
          <w:bCs/>
          <w:color w:val="000000"/>
        </w:rPr>
        <w:t>1 :L’é</w:t>
      </w:r>
      <w:r w:rsidRPr="007D5EFC">
        <w:rPr>
          <w:rFonts w:cs="MyriadPro-Bold"/>
          <w:bCs/>
          <w:color w:val="000000"/>
        </w:rPr>
        <w:t xml:space="preserve">quipe du projet </w:t>
      </w:r>
      <w:r>
        <w:rPr>
          <w:rFonts w:cs="MyriadPro-Bold"/>
          <w:bCs/>
          <w:color w:val="000000"/>
        </w:rPr>
        <w:t xml:space="preserve">est </w:t>
      </w:r>
      <w:r w:rsidRPr="007D5EFC">
        <w:rPr>
          <w:rFonts w:cs="MyriadPro-Bold"/>
          <w:bCs/>
          <w:color w:val="000000"/>
        </w:rPr>
        <w:t>mise en place</w:t>
      </w:r>
    </w:p>
    <w:p w:rsidR="00375BA9" w:rsidRPr="007D5EFC" w:rsidRDefault="00375BA9" w:rsidP="00375BA9">
      <w:pPr>
        <w:autoSpaceDE w:val="0"/>
        <w:autoSpaceDN w:val="0"/>
        <w:adjustRightInd w:val="0"/>
        <w:spacing w:after="0" w:line="240" w:lineRule="auto"/>
        <w:ind w:left="1134"/>
        <w:jc w:val="both"/>
        <w:rPr>
          <w:rFonts w:cs="MyriadPro-Bold"/>
          <w:bCs/>
          <w:color w:val="000000"/>
        </w:rPr>
      </w:pPr>
      <w:r w:rsidRPr="007D5EFC">
        <w:rPr>
          <w:rFonts w:cs="MyriadPro-Bold"/>
          <w:bCs/>
          <w:color w:val="000000"/>
        </w:rPr>
        <w:t xml:space="preserve">Indicateur </w:t>
      </w:r>
      <w:r>
        <w:rPr>
          <w:rFonts w:cs="MyriadPro-Bold"/>
          <w:bCs/>
          <w:color w:val="000000"/>
        </w:rPr>
        <w:t>2 :Le s</w:t>
      </w:r>
      <w:r w:rsidRPr="007D5EFC">
        <w:rPr>
          <w:rFonts w:cs="MyriadPro-Bold"/>
          <w:bCs/>
          <w:color w:val="000000"/>
        </w:rPr>
        <w:t xml:space="preserve">ystème d’assurance qualité </w:t>
      </w:r>
      <w:r>
        <w:rPr>
          <w:rFonts w:cs="MyriadPro-Bold"/>
          <w:bCs/>
          <w:color w:val="000000"/>
        </w:rPr>
        <w:t xml:space="preserve">est </w:t>
      </w:r>
      <w:r w:rsidRPr="007D5EFC">
        <w:rPr>
          <w:rFonts w:cs="MyriadPro-Bold"/>
          <w:bCs/>
          <w:color w:val="000000"/>
        </w:rPr>
        <w:t>opérationnel</w:t>
      </w:r>
    </w:p>
    <w:p w:rsidR="00375BA9" w:rsidRDefault="00375BA9" w:rsidP="00375BA9">
      <w:pPr>
        <w:autoSpaceDE w:val="0"/>
        <w:autoSpaceDN w:val="0"/>
        <w:adjustRightInd w:val="0"/>
        <w:spacing w:after="0" w:line="240" w:lineRule="auto"/>
        <w:ind w:left="1134"/>
        <w:jc w:val="both"/>
        <w:rPr>
          <w:rFonts w:cs="MyriadPro-Bold"/>
          <w:bCs/>
          <w:color w:val="000000"/>
        </w:rPr>
      </w:pPr>
      <w:r w:rsidRPr="007D5EFC">
        <w:rPr>
          <w:rFonts w:cs="MyriadPro-Bold"/>
          <w:bCs/>
          <w:color w:val="000000"/>
        </w:rPr>
        <w:t xml:space="preserve">Indicateur </w:t>
      </w:r>
      <w:r>
        <w:rPr>
          <w:rFonts w:cs="MyriadPro-Bold"/>
          <w:bCs/>
          <w:color w:val="000000"/>
        </w:rPr>
        <w:t>3 :</w:t>
      </w:r>
      <w:r w:rsidRPr="007D5EFC">
        <w:rPr>
          <w:rFonts w:cs="MyriadPro-Bold"/>
          <w:bCs/>
          <w:color w:val="000000"/>
        </w:rPr>
        <w:t xml:space="preserve"> Des mécanismes de gestion des connaissances, de partage de l’information et de dissémination des capacités requises pour la reproductibilité des résultats du projet sont mis en place.</w:t>
      </w:r>
    </w:p>
    <w:p w:rsidR="00375BA9" w:rsidRDefault="00375BA9" w:rsidP="00375BA9">
      <w:pPr>
        <w:autoSpaceDE w:val="0"/>
        <w:autoSpaceDN w:val="0"/>
        <w:adjustRightInd w:val="0"/>
        <w:spacing w:after="0" w:line="240" w:lineRule="auto"/>
        <w:jc w:val="both"/>
        <w:rPr>
          <w:rFonts w:cs="MyriadPro-Bold"/>
          <w:bCs/>
          <w:color w:val="000000"/>
        </w:rPr>
      </w:pPr>
    </w:p>
    <w:p w:rsidR="00375BA9" w:rsidRDefault="00375BA9" w:rsidP="00375BA9">
      <w:pPr>
        <w:autoSpaceDE w:val="0"/>
        <w:autoSpaceDN w:val="0"/>
        <w:adjustRightInd w:val="0"/>
        <w:spacing w:after="0" w:line="240" w:lineRule="auto"/>
        <w:jc w:val="both"/>
        <w:rPr>
          <w:rFonts w:cs="MyriadPro-Bold"/>
          <w:bCs/>
          <w:color w:val="000000"/>
        </w:rPr>
      </w:pPr>
      <w:r>
        <w:rPr>
          <w:rFonts w:cs="MyriadPro-Bold"/>
          <w:bCs/>
          <w:color w:val="000000"/>
        </w:rPr>
        <w:t xml:space="preserve">Cependant, aucune ILDH n’a bénéficié de la démarche IEL. Ce constat peut être amélioré en incitant les </w:t>
      </w:r>
      <w:r w:rsidRPr="007625D5">
        <w:rPr>
          <w:rFonts w:cs="MyriadPro-Bold"/>
          <w:bCs/>
          <w:color w:val="000000"/>
        </w:rPr>
        <w:t>communes pilotes ciblées par l’INDH à reprendre l’exercice de verdissement des PCD et de l’appliquer à leurs ILDH respectifs, mais cette action doit être accompagnée en amont par la</w:t>
      </w:r>
      <w:r>
        <w:rPr>
          <w:rFonts w:cs="MyriadPro-Bold"/>
          <w:bCs/>
          <w:color w:val="000000"/>
        </w:rPr>
        <w:t xml:space="preserve"> présentation des résultats du projet CB2 aux responsables de l’INDH en vue de gagner leur implication dans le processus. </w:t>
      </w:r>
    </w:p>
    <w:p w:rsidR="00375BA9" w:rsidRDefault="00375BA9" w:rsidP="00375BA9">
      <w:pPr>
        <w:autoSpaceDE w:val="0"/>
        <w:autoSpaceDN w:val="0"/>
        <w:adjustRightInd w:val="0"/>
        <w:spacing w:after="0" w:line="240" w:lineRule="auto"/>
        <w:jc w:val="both"/>
        <w:rPr>
          <w:rFonts w:cs="MyriadPro-Bold"/>
          <w:bCs/>
          <w:color w:val="000000"/>
        </w:rPr>
      </w:pPr>
    </w:p>
    <w:p w:rsidR="00375BA9" w:rsidRDefault="00375BA9" w:rsidP="00375BA9">
      <w:pPr>
        <w:autoSpaceDE w:val="0"/>
        <w:autoSpaceDN w:val="0"/>
        <w:adjustRightInd w:val="0"/>
        <w:spacing w:after="0" w:line="240" w:lineRule="auto"/>
        <w:jc w:val="both"/>
        <w:rPr>
          <w:rFonts w:cs="MyriadPro-Bold"/>
          <w:bCs/>
          <w:color w:val="000000"/>
        </w:rPr>
      </w:pPr>
      <w:r w:rsidRPr="00C42E79">
        <w:rPr>
          <w:rFonts w:cs="MyriadPro-Bold"/>
          <w:bCs/>
          <w:color w:val="000000"/>
        </w:rPr>
        <w:t>L’exécution du projet a été attribuée au Ministère Délégué chargé de l’Environnement (MD</w:t>
      </w:r>
      <w:r>
        <w:rPr>
          <w:rFonts w:cs="MyriadPro-Bold"/>
          <w:bCs/>
          <w:color w:val="000000"/>
        </w:rPr>
        <w:t>C</w:t>
      </w:r>
      <w:r w:rsidRPr="00C42E79">
        <w:rPr>
          <w:rFonts w:cs="MyriadPro-Bold"/>
          <w:bCs/>
          <w:color w:val="000000"/>
        </w:rPr>
        <w:t xml:space="preserve">E) appuyant ainsi l’ancrage institutionnel du projet et son appropriation locale. Le projet a été conçu de manière à permettre une implication des différentes parties prenantes et des bénéficiaires. Le but </w:t>
      </w:r>
      <w:r w:rsidRPr="00C42E79">
        <w:rPr>
          <w:rFonts w:cs="MyriadPro-Bold"/>
          <w:bCs/>
          <w:color w:val="000000"/>
        </w:rPr>
        <w:lastRenderedPageBreak/>
        <w:t xml:space="preserve">était d’agir en faveur de </w:t>
      </w:r>
      <w:r>
        <w:rPr>
          <w:rFonts w:cs="MyriadPro-Bold"/>
          <w:bCs/>
          <w:color w:val="000000"/>
        </w:rPr>
        <w:t>l’intégration de la démarche IEL</w:t>
      </w:r>
      <w:r w:rsidRPr="00C42E79">
        <w:rPr>
          <w:rFonts w:cs="MyriadPro-Bold"/>
          <w:bCs/>
          <w:color w:val="000000"/>
        </w:rPr>
        <w:t xml:space="preserve"> aux niveaux décisionnels et opérationnels. Ainsi, une approche participative a été adoptée dans le cadre du projet en vue d’impliquer les parties prenantes et les bénéficiaires et de faciliter leur adhésion. Pour ce faire, des actions de sensibilisation, d’information et de formation ont été menées avec une perspective de renforcement des compétences des acteurs locaux.</w:t>
      </w:r>
    </w:p>
    <w:p w:rsidR="00375BA9" w:rsidRDefault="00375BA9" w:rsidP="00375BA9">
      <w:pPr>
        <w:autoSpaceDE w:val="0"/>
        <w:autoSpaceDN w:val="0"/>
        <w:adjustRightInd w:val="0"/>
        <w:spacing w:after="0" w:line="240" w:lineRule="auto"/>
        <w:jc w:val="both"/>
        <w:rPr>
          <w:rFonts w:cs="MyriadPro-Bold"/>
          <w:bCs/>
          <w:color w:val="000000"/>
        </w:rPr>
      </w:pPr>
    </w:p>
    <w:p w:rsidR="00375BA9" w:rsidRDefault="00375BA9" w:rsidP="00375BA9">
      <w:pPr>
        <w:autoSpaceDE w:val="0"/>
        <w:autoSpaceDN w:val="0"/>
        <w:adjustRightInd w:val="0"/>
        <w:spacing w:after="0" w:line="240" w:lineRule="auto"/>
        <w:jc w:val="both"/>
        <w:rPr>
          <w:rFonts w:cs="MyriadPro-Bold"/>
          <w:bCs/>
          <w:color w:val="000000"/>
        </w:rPr>
      </w:pPr>
      <w:r>
        <w:rPr>
          <w:rFonts w:cs="MyriadPro-Bold"/>
          <w:bCs/>
          <w:color w:val="000000"/>
        </w:rPr>
        <w:t xml:space="preserve">L’appropriation locale du projet a été appuyée également par la mise en place des GREET qui ont joué le rôle de relai au niveau régional, leur pérennité est un garant de la durabilité du projet dans les régions pilotes. </w:t>
      </w:r>
      <w:r w:rsidRPr="009E32CF">
        <w:rPr>
          <w:rFonts w:cs="MyriadPro-Bold"/>
          <w:bCs/>
          <w:color w:val="000000"/>
        </w:rPr>
        <w:t>Le</w:t>
      </w:r>
      <w:r>
        <w:rPr>
          <w:rFonts w:cs="MyriadPro-Bold"/>
          <w:bCs/>
          <w:color w:val="000000"/>
        </w:rPr>
        <w:t>s</w:t>
      </w:r>
      <w:r w:rsidRPr="007D5EFC">
        <w:rPr>
          <w:rFonts w:cs="MyriadPro-Bold"/>
          <w:bCs/>
          <w:color w:val="000000"/>
        </w:rPr>
        <w:t>Groupes Régionaux sur les Enjeux Environnementaux Transversaux (GREET)</w:t>
      </w:r>
      <w:r w:rsidRPr="009E32CF">
        <w:rPr>
          <w:rFonts w:cs="MyriadPro-Bold"/>
          <w:bCs/>
          <w:color w:val="000000"/>
        </w:rPr>
        <w:t>adossé</w:t>
      </w:r>
      <w:r>
        <w:rPr>
          <w:rFonts w:cs="MyriadPro-Bold"/>
          <w:bCs/>
          <w:color w:val="000000"/>
        </w:rPr>
        <w:t>s aux</w:t>
      </w:r>
      <w:r w:rsidRPr="00B60036">
        <w:rPr>
          <w:rFonts w:cs="MyriadPro-Bold"/>
          <w:bCs/>
          <w:color w:val="000000"/>
        </w:rPr>
        <w:t>Observatoire régional de l’Environnement et de Développement Durable</w:t>
      </w:r>
      <w:r>
        <w:rPr>
          <w:rFonts w:cs="MyriadPro-Bold"/>
          <w:bCs/>
          <w:color w:val="000000"/>
        </w:rPr>
        <w:t xml:space="preserve"> (</w:t>
      </w:r>
      <w:r w:rsidRPr="009E32CF">
        <w:rPr>
          <w:rFonts w:cs="MyriadPro-Bold"/>
          <w:bCs/>
          <w:color w:val="000000"/>
        </w:rPr>
        <w:t>OREDD</w:t>
      </w:r>
      <w:r>
        <w:rPr>
          <w:rFonts w:cs="MyriadPro-Bold"/>
          <w:bCs/>
          <w:color w:val="000000"/>
        </w:rPr>
        <w:t>)</w:t>
      </w:r>
      <w:r w:rsidRPr="009E32CF">
        <w:rPr>
          <w:rFonts w:cs="MyriadPro-Bold"/>
          <w:bCs/>
          <w:color w:val="000000"/>
        </w:rPr>
        <w:t xml:space="preserve"> et au</w:t>
      </w:r>
      <w:r>
        <w:rPr>
          <w:rFonts w:cs="MyriadPro-Bold"/>
          <w:bCs/>
          <w:color w:val="000000"/>
        </w:rPr>
        <w:t>x</w:t>
      </w:r>
      <w:r w:rsidRPr="009E32CF">
        <w:rPr>
          <w:rFonts w:cs="MyriadPro-Bold"/>
          <w:bCs/>
          <w:color w:val="000000"/>
        </w:rPr>
        <w:t xml:space="preserve"> service</w:t>
      </w:r>
      <w:r>
        <w:rPr>
          <w:rFonts w:cs="MyriadPro-Bold"/>
          <w:bCs/>
          <w:color w:val="000000"/>
        </w:rPr>
        <w:t>s</w:t>
      </w:r>
      <w:r w:rsidRPr="009E32CF">
        <w:rPr>
          <w:rFonts w:cs="MyriadPro-Bold"/>
          <w:bCs/>
          <w:color w:val="000000"/>
        </w:rPr>
        <w:t xml:space="preserve"> de l’environnement de</w:t>
      </w:r>
      <w:r>
        <w:rPr>
          <w:rFonts w:cs="MyriadPro-Bold"/>
          <w:bCs/>
          <w:color w:val="000000"/>
        </w:rPr>
        <w:t>s</w:t>
      </w:r>
      <w:r w:rsidRPr="009E32CF">
        <w:rPr>
          <w:rFonts w:cs="MyriadPro-Bold"/>
          <w:bCs/>
          <w:color w:val="000000"/>
        </w:rPr>
        <w:t xml:space="preserve"> Wilaya constitue</w:t>
      </w:r>
      <w:r>
        <w:rPr>
          <w:rFonts w:cs="MyriadPro-Bold"/>
          <w:bCs/>
          <w:color w:val="000000"/>
        </w:rPr>
        <w:t>nt</w:t>
      </w:r>
      <w:r w:rsidRPr="009E32CF">
        <w:rPr>
          <w:rFonts w:cs="MyriadPro-Bold"/>
          <w:bCs/>
          <w:color w:val="000000"/>
        </w:rPr>
        <w:t xml:space="preserve"> un espace idoine pour l’échange d’informations environnementales et des expériences en matière de </w:t>
      </w:r>
      <w:r w:rsidRPr="007625D5">
        <w:rPr>
          <w:rFonts w:cs="MyriadPro-Bold"/>
          <w:bCs/>
          <w:color w:val="000000"/>
        </w:rPr>
        <w:t>de promotion du développement durable au niveau régional et local. Ces expériences sont</w:t>
      </w:r>
      <w:r w:rsidRPr="009E32CF">
        <w:rPr>
          <w:rFonts w:cs="MyriadPro-Bold"/>
          <w:bCs/>
          <w:color w:val="000000"/>
        </w:rPr>
        <w:t xml:space="preserve"> actuellement canalisé</w:t>
      </w:r>
      <w:r>
        <w:rPr>
          <w:rFonts w:cs="MyriadPro-Bold"/>
          <w:bCs/>
          <w:color w:val="000000"/>
        </w:rPr>
        <w:t>e</w:t>
      </w:r>
      <w:r w:rsidRPr="009E32CF">
        <w:rPr>
          <w:rFonts w:cs="MyriadPro-Bold"/>
          <w:bCs/>
          <w:color w:val="000000"/>
        </w:rPr>
        <w:t>s à travers l’approche IEL pour être mis</w:t>
      </w:r>
      <w:r>
        <w:rPr>
          <w:rFonts w:cs="MyriadPro-Bold"/>
          <w:bCs/>
          <w:color w:val="000000"/>
        </w:rPr>
        <w:t>es</w:t>
      </w:r>
      <w:r w:rsidRPr="009E32CF">
        <w:rPr>
          <w:rFonts w:cs="MyriadPro-Bold"/>
          <w:bCs/>
          <w:color w:val="000000"/>
        </w:rPr>
        <w:t xml:space="preserve"> à la disposition du développement local et de la planification stratégique territoriale.</w:t>
      </w:r>
    </w:p>
    <w:p w:rsidR="00375BA9" w:rsidRDefault="00375BA9" w:rsidP="00375BA9">
      <w:pPr>
        <w:autoSpaceDE w:val="0"/>
        <w:autoSpaceDN w:val="0"/>
        <w:adjustRightInd w:val="0"/>
        <w:spacing w:after="0" w:line="240" w:lineRule="auto"/>
        <w:jc w:val="both"/>
        <w:rPr>
          <w:rFonts w:cs="MyriadPro-Bold"/>
          <w:bCs/>
          <w:color w:val="000000"/>
        </w:rPr>
      </w:pPr>
    </w:p>
    <w:p w:rsidR="00375BA9" w:rsidRDefault="00375BA9" w:rsidP="00375BA9">
      <w:pPr>
        <w:autoSpaceDE w:val="0"/>
        <w:autoSpaceDN w:val="0"/>
        <w:adjustRightInd w:val="0"/>
        <w:spacing w:after="0" w:line="240" w:lineRule="auto"/>
        <w:jc w:val="both"/>
        <w:rPr>
          <w:rFonts w:cs="MyriadPro-Bold"/>
          <w:bCs/>
          <w:color w:val="000000"/>
        </w:rPr>
      </w:pPr>
      <w:r>
        <w:rPr>
          <w:rFonts w:cs="MyriadPro-Bold"/>
          <w:bCs/>
          <w:color w:val="000000"/>
        </w:rPr>
        <w:t xml:space="preserve">Un autre facteur qui concoure à la durabilité du projet consiste en l’appropriation par la DGCL des </w:t>
      </w:r>
      <w:r w:rsidRPr="007625D5">
        <w:rPr>
          <w:rFonts w:cs="MyriadPro-Bold"/>
          <w:bCs/>
          <w:color w:val="000000"/>
        </w:rPr>
        <w:t>outils méthodologiques développés. La DGCL utilisera ces outils méthodologiques pour compléter le</w:t>
      </w:r>
      <w:r>
        <w:rPr>
          <w:rFonts w:cs="MyriadPro-Bold"/>
          <w:bCs/>
          <w:color w:val="000000"/>
        </w:rPr>
        <w:t xml:space="preserve"> kit de formation destiné aux secrétaires généraux des communes. Les partenaires du développement </w:t>
      </w:r>
      <w:r w:rsidRPr="007625D5">
        <w:rPr>
          <w:rFonts w:cs="MyriadPro-Bold"/>
          <w:bCs/>
          <w:color w:val="000000"/>
        </w:rPr>
        <w:t xml:space="preserve">tel que la GIZ et </w:t>
      </w:r>
      <w:r>
        <w:rPr>
          <w:rFonts w:cs="MyriadPro-Bold"/>
          <w:bCs/>
          <w:color w:val="000000"/>
        </w:rPr>
        <w:t>l’</w:t>
      </w:r>
      <w:r w:rsidRPr="00B60036">
        <w:rPr>
          <w:rFonts w:cs="MyriadPro-Bold"/>
          <w:bCs/>
          <w:color w:val="000000"/>
        </w:rPr>
        <w:t xml:space="preserve">Association de Développement Local méditerranéen </w:t>
      </w:r>
      <w:r>
        <w:rPr>
          <w:rFonts w:cs="MyriadPro-Bold"/>
          <w:bCs/>
          <w:color w:val="000000"/>
        </w:rPr>
        <w:t>(</w:t>
      </w:r>
      <w:r w:rsidRPr="007625D5">
        <w:rPr>
          <w:rFonts w:cs="MyriadPro-Bold"/>
          <w:bCs/>
          <w:color w:val="000000"/>
        </w:rPr>
        <w:t>ADELMA</w:t>
      </w:r>
      <w:r>
        <w:rPr>
          <w:rFonts w:cs="MyriadPro-Bold"/>
          <w:bCs/>
          <w:color w:val="000000"/>
        </w:rPr>
        <w:t>)</w:t>
      </w:r>
      <w:r w:rsidRPr="007625D5">
        <w:rPr>
          <w:rFonts w:cs="MyriadPro-Bold"/>
          <w:bCs/>
          <w:color w:val="000000"/>
        </w:rPr>
        <w:t xml:space="preserve"> utilisent déjà ces outils méthodologiques dans les activités de renforcement des capacités des bénéficiaires de leurs projets.</w:t>
      </w:r>
    </w:p>
    <w:p w:rsidR="00375BA9" w:rsidRDefault="00375BA9" w:rsidP="00375BA9">
      <w:pPr>
        <w:autoSpaceDE w:val="0"/>
        <w:autoSpaceDN w:val="0"/>
        <w:adjustRightInd w:val="0"/>
        <w:spacing w:after="0" w:line="240" w:lineRule="auto"/>
        <w:jc w:val="both"/>
        <w:rPr>
          <w:rFonts w:cs="MyriadPro-Bold"/>
          <w:bCs/>
          <w:color w:val="000000"/>
        </w:rPr>
      </w:pPr>
    </w:p>
    <w:p w:rsidR="00375BA9" w:rsidRDefault="00375BA9" w:rsidP="00375BA9">
      <w:pPr>
        <w:autoSpaceDE w:val="0"/>
        <w:autoSpaceDN w:val="0"/>
        <w:adjustRightInd w:val="0"/>
        <w:spacing w:after="0" w:line="240" w:lineRule="auto"/>
        <w:jc w:val="both"/>
        <w:rPr>
          <w:rFonts w:cs="MyriadPro-Bold"/>
          <w:bCs/>
          <w:color w:val="000000"/>
        </w:rPr>
      </w:pPr>
      <w:r w:rsidRPr="009E32CF">
        <w:rPr>
          <w:rFonts w:cs="MyriadPro-Bold"/>
          <w:bCs/>
          <w:color w:val="000000"/>
        </w:rPr>
        <w:t>Le renforce</w:t>
      </w:r>
      <w:r>
        <w:rPr>
          <w:rFonts w:cs="MyriadPro-Bold"/>
          <w:bCs/>
          <w:color w:val="000000"/>
        </w:rPr>
        <w:t>ment des capacités sur l</w:t>
      </w:r>
      <w:r w:rsidRPr="009E32CF">
        <w:rPr>
          <w:rFonts w:cs="MyriadPro-Bold"/>
          <w:bCs/>
          <w:color w:val="000000"/>
        </w:rPr>
        <w:t xml:space="preserve">es outils méthodologiques </w:t>
      </w:r>
      <w:r>
        <w:rPr>
          <w:rFonts w:cs="MyriadPro-Bold"/>
          <w:bCs/>
          <w:color w:val="000000"/>
        </w:rPr>
        <w:t xml:space="preserve">dans le cadre du projet CB2, </w:t>
      </w:r>
      <w:r w:rsidRPr="009E32CF">
        <w:rPr>
          <w:rFonts w:cs="MyriadPro-Bold"/>
          <w:bCs/>
          <w:color w:val="000000"/>
        </w:rPr>
        <w:t xml:space="preserve">a permis d’induire un changement important dans la manière d’aborder l’élaboration des PCD. Ce changement est d’autant plus important qu’il ouvre des nouvelles possibilités aux gestionnaires communaux pour proposer des projets de développement </w:t>
      </w:r>
      <w:r w:rsidRPr="00446497">
        <w:rPr>
          <w:rFonts w:cs="MyriadPro-Bold"/>
          <w:bCs/>
          <w:i/>
          <w:color w:val="000000"/>
        </w:rPr>
        <w:t>durable</w:t>
      </w:r>
      <w:r>
        <w:rPr>
          <w:rFonts w:cs="MyriadPro-Bold"/>
          <w:bCs/>
          <w:color w:val="000000"/>
        </w:rPr>
        <w:t>dans un domaine (conventions de Rio)</w:t>
      </w:r>
      <w:r w:rsidRPr="009E32CF">
        <w:rPr>
          <w:rFonts w:cs="MyriadPro-Bold"/>
          <w:bCs/>
          <w:color w:val="000000"/>
        </w:rPr>
        <w:t xml:space="preserve"> faiblement exploré dans leur</w:t>
      </w:r>
      <w:r>
        <w:rPr>
          <w:rFonts w:cs="MyriadPro-Bold"/>
          <w:bCs/>
          <w:color w:val="000000"/>
        </w:rPr>
        <w:t>s</w:t>
      </w:r>
      <w:r w:rsidRPr="009E32CF">
        <w:rPr>
          <w:rFonts w:cs="MyriadPro-Bold"/>
          <w:bCs/>
          <w:color w:val="000000"/>
        </w:rPr>
        <w:t xml:space="preserve"> approche</w:t>
      </w:r>
      <w:r>
        <w:rPr>
          <w:rFonts w:cs="MyriadPro-Bold"/>
          <w:bCs/>
          <w:color w:val="000000"/>
        </w:rPr>
        <w:t>s</w:t>
      </w:r>
      <w:r w:rsidRPr="009E32CF">
        <w:rPr>
          <w:rFonts w:cs="MyriadPro-Bold"/>
          <w:bCs/>
          <w:color w:val="000000"/>
        </w:rPr>
        <w:t xml:space="preserve">. </w:t>
      </w:r>
    </w:p>
    <w:p w:rsidR="009463D2" w:rsidRPr="00F63F00" w:rsidRDefault="009463D2" w:rsidP="00AD1A5C">
      <w:pPr>
        <w:autoSpaceDE w:val="0"/>
        <w:autoSpaceDN w:val="0"/>
        <w:adjustRightInd w:val="0"/>
        <w:spacing w:after="0" w:line="240" w:lineRule="auto"/>
        <w:rPr>
          <w:rFonts w:cs="MyriadPro-Bold"/>
          <w:bCs/>
          <w:color w:val="000000"/>
        </w:rPr>
      </w:pPr>
    </w:p>
    <w:p w:rsidR="00AD1A5C" w:rsidRDefault="009463D2" w:rsidP="009463D2">
      <w:pPr>
        <w:pStyle w:val="Titre2"/>
        <w:spacing w:before="0"/>
        <w:rPr>
          <w:rFonts w:asciiTheme="minorHAnsi" w:hAnsiTheme="minorHAnsi" w:cs="ACaslonPro-Regular"/>
          <w:color w:val="auto"/>
          <w:sz w:val="22"/>
          <w:szCs w:val="22"/>
        </w:rPr>
      </w:pPr>
      <w:bookmarkStart w:id="63" w:name="_Toc425414597"/>
      <w:r w:rsidRPr="009463D2">
        <w:rPr>
          <w:rFonts w:asciiTheme="minorHAnsi" w:hAnsiTheme="minorHAnsi" w:cs="ACaslonPro-Regular"/>
          <w:color w:val="auto"/>
          <w:sz w:val="22"/>
          <w:szCs w:val="22"/>
        </w:rPr>
        <w:t xml:space="preserve">IV.1 </w:t>
      </w:r>
      <w:r w:rsidR="00AD1A5C" w:rsidRPr="009463D2">
        <w:rPr>
          <w:rFonts w:asciiTheme="minorHAnsi" w:hAnsiTheme="minorHAnsi" w:cs="ACaslonPro-Regular"/>
          <w:color w:val="auto"/>
          <w:sz w:val="22"/>
          <w:szCs w:val="22"/>
        </w:rPr>
        <w:t xml:space="preserve">Mesures correctives pour la conception, la mise en </w:t>
      </w:r>
      <w:r>
        <w:rPr>
          <w:rFonts w:asciiTheme="minorHAnsi" w:hAnsiTheme="minorHAnsi" w:cs="ACaslonPro-Regular"/>
          <w:color w:val="auto"/>
          <w:sz w:val="22"/>
          <w:szCs w:val="22"/>
        </w:rPr>
        <w:t>œuvre</w:t>
      </w:r>
      <w:r w:rsidR="00AD1A5C" w:rsidRPr="009463D2">
        <w:rPr>
          <w:rFonts w:asciiTheme="minorHAnsi" w:hAnsiTheme="minorHAnsi" w:cs="ACaslonPro-Regular"/>
          <w:color w:val="auto"/>
          <w:sz w:val="22"/>
          <w:szCs w:val="22"/>
        </w:rPr>
        <w:t>, le suivi et l’évaluation du projet</w:t>
      </w:r>
      <w:bookmarkEnd w:id="63"/>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7621"/>
      </w:tblGrid>
      <w:tr w:rsidR="009463D2" w:rsidRPr="00604D3A" w:rsidTr="00604D3A">
        <w:trPr>
          <w:trHeight w:val="91"/>
        </w:trPr>
        <w:tc>
          <w:tcPr>
            <w:tcW w:w="1809" w:type="dxa"/>
            <w:shd w:val="clear" w:color="auto" w:fill="BFBFBF" w:themeFill="background1" w:themeFillShade="BF"/>
          </w:tcPr>
          <w:p w:rsidR="009463D2" w:rsidRPr="00604D3A" w:rsidRDefault="009463D2" w:rsidP="00604D3A">
            <w:pPr>
              <w:autoSpaceDE w:val="0"/>
              <w:autoSpaceDN w:val="0"/>
              <w:adjustRightInd w:val="0"/>
              <w:spacing w:after="0" w:line="240" w:lineRule="auto"/>
              <w:jc w:val="center"/>
              <w:rPr>
                <w:rFonts w:cs="Garamond"/>
                <w:b/>
                <w:color w:val="000000"/>
              </w:rPr>
            </w:pPr>
            <w:r w:rsidRPr="00604D3A">
              <w:rPr>
                <w:rFonts w:cs="Garamond"/>
                <w:b/>
                <w:i/>
                <w:iCs/>
                <w:color w:val="000000"/>
              </w:rPr>
              <w:t>Composante</w:t>
            </w:r>
          </w:p>
        </w:tc>
        <w:tc>
          <w:tcPr>
            <w:tcW w:w="7621" w:type="dxa"/>
            <w:shd w:val="clear" w:color="auto" w:fill="BFBFBF" w:themeFill="background1" w:themeFillShade="BF"/>
          </w:tcPr>
          <w:p w:rsidR="009463D2" w:rsidRPr="00604D3A" w:rsidRDefault="009463D2" w:rsidP="00604D3A">
            <w:pPr>
              <w:autoSpaceDE w:val="0"/>
              <w:autoSpaceDN w:val="0"/>
              <w:adjustRightInd w:val="0"/>
              <w:spacing w:after="0" w:line="240" w:lineRule="auto"/>
              <w:jc w:val="center"/>
              <w:rPr>
                <w:rFonts w:cs="Garamond"/>
                <w:b/>
                <w:color w:val="000000"/>
              </w:rPr>
            </w:pPr>
            <w:r w:rsidRPr="00604D3A">
              <w:rPr>
                <w:rFonts w:cs="Garamond"/>
                <w:b/>
                <w:i/>
                <w:iCs/>
                <w:color w:val="000000"/>
              </w:rPr>
              <w:t>Mesure corrective</w:t>
            </w:r>
          </w:p>
        </w:tc>
      </w:tr>
      <w:tr w:rsidR="009463D2" w:rsidRPr="009463D2" w:rsidTr="00EB63FD">
        <w:trPr>
          <w:trHeight w:val="1110"/>
        </w:trPr>
        <w:tc>
          <w:tcPr>
            <w:tcW w:w="1809" w:type="dxa"/>
          </w:tcPr>
          <w:p w:rsidR="009463D2" w:rsidRPr="009463D2" w:rsidRDefault="009463D2" w:rsidP="009463D2">
            <w:pPr>
              <w:autoSpaceDE w:val="0"/>
              <w:autoSpaceDN w:val="0"/>
              <w:adjustRightInd w:val="0"/>
              <w:spacing w:after="0" w:line="240" w:lineRule="auto"/>
              <w:rPr>
                <w:rFonts w:cs="Garamond"/>
                <w:color w:val="000000"/>
              </w:rPr>
            </w:pPr>
            <w:r w:rsidRPr="009463D2">
              <w:rPr>
                <w:rFonts w:cs="Garamond"/>
                <w:b/>
                <w:bCs/>
                <w:color w:val="000000"/>
              </w:rPr>
              <w:t xml:space="preserve">Conception </w:t>
            </w:r>
          </w:p>
        </w:tc>
        <w:tc>
          <w:tcPr>
            <w:tcW w:w="7621" w:type="dxa"/>
          </w:tcPr>
          <w:p w:rsidR="00CE5EC8" w:rsidRDefault="00CE5EC8" w:rsidP="00CE5EC8">
            <w:pPr>
              <w:autoSpaceDE w:val="0"/>
              <w:autoSpaceDN w:val="0"/>
              <w:adjustRightInd w:val="0"/>
              <w:spacing w:after="0" w:line="240" w:lineRule="auto"/>
              <w:rPr>
                <w:rFonts w:cs="Times New Roman"/>
                <w:color w:val="000000"/>
              </w:rPr>
            </w:pPr>
            <w:r w:rsidRPr="00CE5EC8">
              <w:rPr>
                <w:rFonts w:cs="Times New Roman"/>
                <w:color w:val="000000"/>
              </w:rPr>
              <w:t xml:space="preserve">−Arrêter le choix </w:t>
            </w:r>
            <w:r>
              <w:rPr>
                <w:rFonts w:cs="Times New Roman"/>
                <w:color w:val="000000"/>
              </w:rPr>
              <w:t>à un seul instrument de planification stratégique</w:t>
            </w:r>
          </w:p>
          <w:p w:rsidR="00CE5EC8" w:rsidRDefault="00CE5EC8" w:rsidP="00CE5EC8">
            <w:pPr>
              <w:autoSpaceDE w:val="0"/>
              <w:autoSpaceDN w:val="0"/>
              <w:adjustRightInd w:val="0"/>
              <w:spacing w:after="0" w:line="240" w:lineRule="auto"/>
              <w:rPr>
                <w:rFonts w:cs="Times New Roman"/>
                <w:color w:val="000000"/>
              </w:rPr>
            </w:pPr>
            <w:r w:rsidRPr="00CE5EC8">
              <w:rPr>
                <w:rFonts w:cs="Times New Roman"/>
                <w:color w:val="000000"/>
              </w:rPr>
              <w:t>−Définir dans le ProDoc la zone d’intervention du projet</w:t>
            </w:r>
          </w:p>
          <w:p w:rsidR="00CE5EC8" w:rsidRDefault="00CE5EC8" w:rsidP="00CE5EC8">
            <w:pPr>
              <w:autoSpaceDE w:val="0"/>
              <w:autoSpaceDN w:val="0"/>
              <w:adjustRightInd w:val="0"/>
              <w:spacing w:after="0" w:line="240" w:lineRule="auto"/>
              <w:rPr>
                <w:rFonts w:cs="Times New Roman"/>
                <w:color w:val="000000"/>
              </w:rPr>
            </w:pPr>
            <w:r w:rsidRPr="00CE5EC8">
              <w:rPr>
                <w:rFonts w:cs="Times New Roman"/>
                <w:color w:val="000000"/>
              </w:rPr>
              <w:t>−</w:t>
            </w:r>
            <w:r>
              <w:rPr>
                <w:rFonts w:cs="Times New Roman"/>
                <w:color w:val="000000"/>
              </w:rPr>
              <w:t xml:space="preserve"> Définir dans le ProDoc l’échéancier de réalisation des résultats</w:t>
            </w:r>
          </w:p>
          <w:p w:rsidR="00CE5EC8" w:rsidRPr="00CE5EC8" w:rsidRDefault="00CE5EC8" w:rsidP="00CE5EC8">
            <w:pPr>
              <w:autoSpaceDE w:val="0"/>
              <w:autoSpaceDN w:val="0"/>
              <w:adjustRightInd w:val="0"/>
              <w:spacing w:after="0" w:line="240" w:lineRule="auto"/>
              <w:rPr>
                <w:rFonts w:cs="Times New Roman"/>
                <w:color w:val="000000"/>
              </w:rPr>
            </w:pPr>
            <w:r w:rsidRPr="00CE5EC8">
              <w:rPr>
                <w:rFonts w:cs="Times New Roman"/>
                <w:color w:val="000000"/>
              </w:rPr>
              <w:t>−</w:t>
            </w:r>
            <w:r>
              <w:rPr>
                <w:rFonts w:cs="Times New Roman"/>
                <w:color w:val="000000"/>
              </w:rPr>
              <w:t xml:space="preserve"> Présenter dans le ProDoc un plan d’ordonnancement des résultats (chronogramme)</w:t>
            </w:r>
          </w:p>
          <w:p w:rsidR="009463D2" w:rsidRPr="009463D2" w:rsidRDefault="009463D2" w:rsidP="009463D2">
            <w:pPr>
              <w:autoSpaceDE w:val="0"/>
              <w:autoSpaceDN w:val="0"/>
              <w:adjustRightInd w:val="0"/>
              <w:spacing w:after="0" w:line="240" w:lineRule="auto"/>
              <w:rPr>
                <w:rFonts w:cs="Garamond"/>
                <w:color w:val="000000"/>
              </w:rPr>
            </w:pPr>
            <w:r w:rsidRPr="009463D2">
              <w:rPr>
                <w:rFonts w:cs="Times New Roman"/>
                <w:color w:val="000000"/>
              </w:rPr>
              <w:t xml:space="preserve">− </w:t>
            </w:r>
            <w:r w:rsidRPr="009463D2">
              <w:rPr>
                <w:rFonts w:cs="Garamond"/>
                <w:color w:val="000000"/>
              </w:rPr>
              <w:t xml:space="preserve">Renforcer la sensibilisation et le plaidoyer auprès des </w:t>
            </w:r>
            <w:r w:rsidR="00EB63FD" w:rsidRPr="00EB63FD">
              <w:rPr>
                <w:rFonts w:cs="Garamond"/>
                <w:color w:val="000000"/>
              </w:rPr>
              <w:t xml:space="preserve">parties prenantes </w:t>
            </w:r>
          </w:p>
          <w:p w:rsidR="009463D2" w:rsidRPr="009463D2" w:rsidRDefault="009463D2" w:rsidP="009463D2">
            <w:pPr>
              <w:autoSpaceDE w:val="0"/>
              <w:autoSpaceDN w:val="0"/>
              <w:adjustRightInd w:val="0"/>
              <w:spacing w:after="0" w:line="240" w:lineRule="auto"/>
              <w:rPr>
                <w:rFonts w:cs="Garamond"/>
                <w:color w:val="000000"/>
              </w:rPr>
            </w:pPr>
            <w:r w:rsidRPr="009463D2">
              <w:rPr>
                <w:rFonts w:cs="Times New Roman"/>
                <w:color w:val="000000"/>
              </w:rPr>
              <w:t xml:space="preserve">− </w:t>
            </w:r>
            <w:r w:rsidR="00EB63FD" w:rsidRPr="00EB63FD">
              <w:rPr>
                <w:rFonts w:cs="Garamond"/>
                <w:color w:val="000000"/>
              </w:rPr>
              <w:t>Impliquer le tissu associatif dans les organes de gouvernance au niveau territorial</w:t>
            </w:r>
          </w:p>
          <w:p w:rsidR="009463D2" w:rsidRPr="009463D2" w:rsidRDefault="00EB63FD" w:rsidP="009463D2">
            <w:pPr>
              <w:autoSpaceDE w:val="0"/>
              <w:autoSpaceDN w:val="0"/>
              <w:adjustRightInd w:val="0"/>
              <w:spacing w:after="0" w:line="240" w:lineRule="auto"/>
              <w:rPr>
                <w:rFonts w:cs="Garamond"/>
                <w:color w:val="000000"/>
              </w:rPr>
            </w:pPr>
            <w:r w:rsidRPr="00EB63FD">
              <w:rPr>
                <w:rFonts w:cs="Garamond"/>
                <w:color w:val="000000"/>
              </w:rPr>
              <w:t>− Impliquer le HCEFLCD dans le comité de suivi</w:t>
            </w:r>
          </w:p>
          <w:p w:rsidR="009463D2" w:rsidRPr="009463D2" w:rsidRDefault="009463D2" w:rsidP="009463D2">
            <w:pPr>
              <w:autoSpaceDE w:val="0"/>
              <w:autoSpaceDN w:val="0"/>
              <w:adjustRightInd w:val="0"/>
              <w:spacing w:after="0" w:line="240" w:lineRule="auto"/>
              <w:rPr>
                <w:rFonts w:cs="Times New Roman"/>
                <w:color w:val="000000"/>
              </w:rPr>
            </w:pPr>
            <w:r w:rsidRPr="009463D2">
              <w:rPr>
                <w:rFonts w:cs="Times New Roman"/>
                <w:color w:val="000000"/>
              </w:rPr>
              <w:t xml:space="preserve">− </w:t>
            </w:r>
            <w:r w:rsidR="00EB63FD" w:rsidRPr="00EB63FD">
              <w:rPr>
                <w:rFonts w:cs="Times New Roman"/>
                <w:color w:val="000000"/>
              </w:rPr>
              <w:t xml:space="preserve">Renseigner la </w:t>
            </w:r>
            <w:r w:rsidR="00D626CA">
              <w:rPr>
                <w:rFonts w:cs="Times New Roman"/>
                <w:color w:val="000000"/>
              </w:rPr>
              <w:t>carte</w:t>
            </w:r>
            <w:r w:rsidR="00EB63FD" w:rsidRPr="00EB63FD">
              <w:rPr>
                <w:rFonts w:cs="Times New Roman"/>
                <w:color w:val="000000"/>
              </w:rPr>
              <w:t xml:space="preserve"> de pointage</w:t>
            </w:r>
            <w:r w:rsidR="00D626CA">
              <w:rPr>
                <w:rFonts w:cs="Times New Roman"/>
                <w:color w:val="000000"/>
              </w:rPr>
              <w:t xml:space="preserve"> du suivi du développement des capacités </w:t>
            </w:r>
            <w:r w:rsidR="00EB63FD" w:rsidRPr="00EB63FD">
              <w:rPr>
                <w:rFonts w:cs="Times New Roman"/>
                <w:color w:val="000000"/>
              </w:rPr>
              <w:t>à différentes étapes de la mise en œuvre du projet (démarrage, mi-parcours et achèvement)</w:t>
            </w:r>
          </w:p>
          <w:p w:rsidR="009463D2" w:rsidRPr="009463D2" w:rsidRDefault="009463D2" w:rsidP="00CE5EC8">
            <w:pPr>
              <w:autoSpaceDE w:val="0"/>
              <w:autoSpaceDN w:val="0"/>
              <w:adjustRightInd w:val="0"/>
              <w:spacing w:after="0" w:line="240" w:lineRule="auto"/>
              <w:rPr>
                <w:rFonts w:cs="Garamond"/>
                <w:color w:val="000000"/>
              </w:rPr>
            </w:pPr>
          </w:p>
        </w:tc>
      </w:tr>
      <w:tr w:rsidR="009463D2" w:rsidRPr="009463D2" w:rsidTr="00EB63FD">
        <w:trPr>
          <w:trHeight w:val="4654"/>
        </w:trPr>
        <w:tc>
          <w:tcPr>
            <w:tcW w:w="1809" w:type="dxa"/>
          </w:tcPr>
          <w:p w:rsidR="009463D2" w:rsidRPr="009463D2" w:rsidRDefault="009463D2" w:rsidP="009463D2">
            <w:pPr>
              <w:autoSpaceDE w:val="0"/>
              <w:autoSpaceDN w:val="0"/>
              <w:adjustRightInd w:val="0"/>
              <w:spacing w:after="0" w:line="240" w:lineRule="auto"/>
              <w:rPr>
                <w:rFonts w:cs="Garamond"/>
                <w:color w:val="000000"/>
              </w:rPr>
            </w:pPr>
            <w:r w:rsidRPr="009463D2">
              <w:rPr>
                <w:rFonts w:cs="Garamond"/>
                <w:b/>
                <w:bCs/>
                <w:color w:val="000000"/>
              </w:rPr>
              <w:lastRenderedPageBreak/>
              <w:t xml:space="preserve">Mise en </w:t>
            </w:r>
            <w:r w:rsidR="00CE5EC8">
              <w:rPr>
                <w:rFonts w:cs="Garamond"/>
                <w:b/>
                <w:bCs/>
                <w:color w:val="000000"/>
              </w:rPr>
              <w:t xml:space="preserve">œuvre </w:t>
            </w:r>
          </w:p>
        </w:tc>
        <w:tc>
          <w:tcPr>
            <w:tcW w:w="7621" w:type="dxa"/>
          </w:tcPr>
          <w:p w:rsidR="009463D2" w:rsidRPr="009463D2" w:rsidRDefault="00CE5EC8" w:rsidP="009463D2">
            <w:pPr>
              <w:autoSpaceDE w:val="0"/>
              <w:autoSpaceDN w:val="0"/>
              <w:adjustRightInd w:val="0"/>
              <w:spacing w:after="0" w:line="240" w:lineRule="auto"/>
              <w:rPr>
                <w:rFonts w:cs="Garamond"/>
                <w:color w:val="000000"/>
              </w:rPr>
            </w:pPr>
            <w:r w:rsidRPr="00CE5EC8">
              <w:rPr>
                <w:rFonts w:cs="Garamond"/>
                <w:i/>
                <w:iCs/>
                <w:color w:val="000000"/>
              </w:rPr>
              <w:t xml:space="preserve">Résultat 1 : Le cadre institutionnel pour l’intégration de la gestion des problèmes d’environnement mondial dans les procédures de planification et de suivi de l’INDH et de planification stratégique locale est développé </w:t>
            </w:r>
          </w:p>
          <w:p w:rsidR="00CE5EC8" w:rsidRDefault="00CE5EC8" w:rsidP="009463D2">
            <w:pPr>
              <w:autoSpaceDE w:val="0"/>
              <w:autoSpaceDN w:val="0"/>
              <w:adjustRightInd w:val="0"/>
              <w:spacing w:after="0" w:line="240" w:lineRule="auto"/>
              <w:rPr>
                <w:rFonts w:cs="Times New Roman"/>
                <w:color w:val="000000"/>
              </w:rPr>
            </w:pPr>
          </w:p>
          <w:p w:rsidR="00D00266" w:rsidRDefault="00F0705F" w:rsidP="009463D2">
            <w:pPr>
              <w:autoSpaceDE w:val="0"/>
              <w:autoSpaceDN w:val="0"/>
              <w:adjustRightInd w:val="0"/>
              <w:spacing w:after="0" w:line="240" w:lineRule="auto"/>
              <w:rPr>
                <w:rFonts w:cs="Times New Roman"/>
                <w:color w:val="000000"/>
              </w:rPr>
            </w:pPr>
            <w:r w:rsidRPr="00F0705F">
              <w:rPr>
                <w:rFonts w:cs="Times New Roman"/>
                <w:color w:val="000000"/>
              </w:rPr>
              <w:t xml:space="preserve">− </w:t>
            </w:r>
            <w:r w:rsidR="00D00266">
              <w:rPr>
                <w:rFonts w:cs="Times New Roman"/>
                <w:color w:val="000000"/>
              </w:rPr>
              <w:t>Mettre en place les points focaux régionaux du projet dès les premières tapes de démarrage</w:t>
            </w:r>
          </w:p>
          <w:p w:rsidR="009463D2" w:rsidRPr="009463D2" w:rsidRDefault="009463D2" w:rsidP="009463D2">
            <w:pPr>
              <w:autoSpaceDE w:val="0"/>
              <w:autoSpaceDN w:val="0"/>
              <w:adjustRightInd w:val="0"/>
              <w:spacing w:after="0" w:line="240" w:lineRule="auto"/>
              <w:rPr>
                <w:rFonts w:cs="Garamond"/>
                <w:color w:val="000000"/>
              </w:rPr>
            </w:pPr>
          </w:p>
          <w:p w:rsidR="009463D2" w:rsidRDefault="00D00266" w:rsidP="009463D2">
            <w:pPr>
              <w:autoSpaceDE w:val="0"/>
              <w:autoSpaceDN w:val="0"/>
              <w:adjustRightInd w:val="0"/>
              <w:spacing w:after="0" w:line="240" w:lineRule="auto"/>
              <w:rPr>
                <w:rFonts w:cs="Garamond"/>
                <w:i/>
                <w:iCs/>
                <w:color w:val="000000"/>
              </w:rPr>
            </w:pPr>
            <w:r w:rsidRPr="00D00266">
              <w:rPr>
                <w:rFonts w:cs="Garamond"/>
                <w:i/>
                <w:iCs/>
                <w:color w:val="000000"/>
              </w:rPr>
              <w:t>Résultat 2 : Les capacités d’intégration systématique des cibles environnementales mondiales dans la planification locale sont renforcées</w:t>
            </w:r>
          </w:p>
          <w:p w:rsidR="00F0705F" w:rsidRPr="009463D2" w:rsidRDefault="00F0705F" w:rsidP="009463D2">
            <w:pPr>
              <w:autoSpaceDE w:val="0"/>
              <w:autoSpaceDN w:val="0"/>
              <w:adjustRightInd w:val="0"/>
              <w:spacing w:after="0" w:line="240" w:lineRule="auto"/>
              <w:rPr>
                <w:rFonts w:cs="Garamond"/>
                <w:color w:val="000000"/>
              </w:rPr>
            </w:pPr>
          </w:p>
          <w:p w:rsidR="00D00266" w:rsidRDefault="00F0705F" w:rsidP="009463D2">
            <w:pPr>
              <w:autoSpaceDE w:val="0"/>
              <w:autoSpaceDN w:val="0"/>
              <w:adjustRightInd w:val="0"/>
              <w:spacing w:after="0" w:line="240" w:lineRule="auto"/>
              <w:rPr>
                <w:rFonts w:cs="Garamond"/>
                <w:iCs/>
                <w:color w:val="000000"/>
              </w:rPr>
            </w:pPr>
            <w:r w:rsidRPr="00F0705F">
              <w:rPr>
                <w:rFonts w:cs="Garamond"/>
                <w:iCs/>
                <w:color w:val="000000"/>
              </w:rPr>
              <w:t>−</w:t>
            </w:r>
            <w:r>
              <w:rPr>
                <w:rFonts w:cs="Garamond"/>
                <w:iCs/>
                <w:color w:val="000000"/>
              </w:rPr>
              <w:t xml:space="preserve"> Prévoir des visites d’appui technique aux communes pour les accompagner dans l’application des outils méthodologiques</w:t>
            </w:r>
          </w:p>
          <w:p w:rsidR="00F0705F" w:rsidRDefault="00F0705F" w:rsidP="009463D2">
            <w:pPr>
              <w:autoSpaceDE w:val="0"/>
              <w:autoSpaceDN w:val="0"/>
              <w:adjustRightInd w:val="0"/>
              <w:spacing w:after="0" w:line="240" w:lineRule="auto"/>
              <w:rPr>
                <w:rFonts w:cs="Garamond"/>
                <w:iCs/>
                <w:color w:val="000000"/>
              </w:rPr>
            </w:pPr>
            <w:r w:rsidRPr="00F0705F">
              <w:rPr>
                <w:rFonts w:cs="Garamond"/>
                <w:iCs/>
                <w:color w:val="000000"/>
              </w:rPr>
              <w:t>−</w:t>
            </w:r>
            <w:r>
              <w:rPr>
                <w:rFonts w:cs="Garamond"/>
                <w:iCs/>
                <w:color w:val="000000"/>
              </w:rPr>
              <w:t xml:space="preserve"> Encourager le réseautage entre communes pour l’échange des expériences et pour le développement de l’intercommunalité</w:t>
            </w:r>
          </w:p>
          <w:p w:rsidR="009463D2" w:rsidRPr="009463D2" w:rsidRDefault="009463D2" w:rsidP="009463D2">
            <w:pPr>
              <w:autoSpaceDE w:val="0"/>
              <w:autoSpaceDN w:val="0"/>
              <w:adjustRightInd w:val="0"/>
              <w:spacing w:after="0" w:line="240" w:lineRule="auto"/>
              <w:rPr>
                <w:rFonts w:cs="Garamond"/>
                <w:color w:val="000000"/>
              </w:rPr>
            </w:pPr>
          </w:p>
          <w:p w:rsidR="00F0705F" w:rsidRDefault="00F0705F" w:rsidP="009463D2">
            <w:pPr>
              <w:autoSpaceDE w:val="0"/>
              <w:autoSpaceDN w:val="0"/>
              <w:adjustRightInd w:val="0"/>
              <w:spacing w:after="0" w:line="240" w:lineRule="auto"/>
              <w:rPr>
                <w:rFonts w:cs="Garamond"/>
                <w:i/>
                <w:iCs/>
                <w:color w:val="000000"/>
              </w:rPr>
            </w:pPr>
            <w:r w:rsidRPr="00F0705F">
              <w:rPr>
                <w:rFonts w:cs="Garamond"/>
                <w:i/>
                <w:iCs/>
                <w:color w:val="000000"/>
              </w:rPr>
              <w:t xml:space="preserve">Résultat 3 : Un système de gestion adaptive et des leçons tirées du projet établi </w:t>
            </w:r>
          </w:p>
          <w:p w:rsidR="00D57016" w:rsidRPr="00D57016" w:rsidRDefault="00D57016" w:rsidP="00D57016">
            <w:pPr>
              <w:autoSpaceDE w:val="0"/>
              <w:autoSpaceDN w:val="0"/>
              <w:adjustRightInd w:val="0"/>
              <w:spacing w:after="0" w:line="240" w:lineRule="auto"/>
              <w:rPr>
                <w:rFonts w:cs="Garamond"/>
                <w:iCs/>
                <w:color w:val="000000"/>
              </w:rPr>
            </w:pPr>
          </w:p>
          <w:p w:rsidR="00D57016" w:rsidRPr="00D57016" w:rsidRDefault="00D57016" w:rsidP="00D57016">
            <w:pPr>
              <w:autoSpaceDE w:val="0"/>
              <w:autoSpaceDN w:val="0"/>
              <w:adjustRightInd w:val="0"/>
              <w:spacing w:after="0" w:line="240" w:lineRule="auto"/>
              <w:rPr>
                <w:rFonts w:cs="Garamond"/>
                <w:iCs/>
                <w:color w:val="000000"/>
              </w:rPr>
            </w:pPr>
            <w:r w:rsidRPr="00D57016">
              <w:rPr>
                <w:rFonts w:cs="Garamond"/>
                <w:iCs/>
                <w:color w:val="000000"/>
              </w:rPr>
              <w:t xml:space="preserve">− Prévoir la mise en service du site web du projet durant les premières étapes de la mise en œuvre du projet </w:t>
            </w:r>
          </w:p>
          <w:p w:rsidR="00D57016" w:rsidRPr="00D57016" w:rsidRDefault="00D57016" w:rsidP="00D57016">
            <w:pPr>
              <w:autoSpaceDE w:val="0"/>
              <w:autoSpaceDN w:val="0"/>
              <w:adjustRightInd w:val="0"/>
              <w:spacing w:after="0" w:line="240" w:lineRule="auto"/>
              <w:rPr>
                <w:rFonts w:cs="Garamond"/>
                <w:iCs/>
                <w:color w:val="000000"/>
              </w:rPr>
            </w:pPr>
            <w:r w:rsidRPr="00D57016">
              <w:rPr>
                <w:rFonts w:cs="Garamond"/>
                <w:iCs/>
                <w:color w:val="000000"/>
              </w:rPr>
              <w:t xml:space="preserve">− Traduire le contenu du site web en arabe pour en élargir la cible de communication </w:t>
            </w:r>
          </w:p>
          <w:p w:rsidR="00D57016" w:rsidRPr="00D57016" w:rsidRDefault="00D57016" w:rsidP="00D57016">
            <w:pPr>
              <w:autoSpaceDE w:val="0"/>
              <w:autoSpaceDN w:val="0"/>
              <w:adjustRightInd w:val="0"/>
              <w:spacing w:after="0" w:line="240" w:lineRule="auto"/>
              <w:rPr>
                <w:rFonts w:cs="Garamond"/>
                <w:iCs/>
                <w:color w:val="000000"/>
              </w:rPr>
            </w:pPr>
            <w:r w:rsidRPr="00D57016">
              <w:rPr>
                <w:rFonts w:cs="Garamond"/>
                <w:iCs/>
                <w:color w:val="000000"/>
              </w:rPr>
              <w:t>− Diffuser les PCD verdis sur le site web et sur des flyers (version résumée)</w:t>
            </w:r>
          </w:p>
          <w:p w:rsidR="009463D2" w:rsidRPr="009463D2" w:rsidRDefault="009463D2" w:rsidP="00D57016">
            <w:pPr>
              <w:autoSpaceDE w:val="0"/>
              <w:autoSpaceDN w:val="0"/>
              <w:adjustRightInd w:val="0"/>
              <w:spacing w:after="0" w:line="240" w:lineRule="auto"/>
              <w:rPr>
                <w:rFonts w:cs="Garamond"/>
                <w:color w:val="000000"/>
              </w:rPr>
            </w:pPr>
          </w:p>
        </w:tc>
      </w:tr>
      <w:tr w:rsidR="009463D2" w:rsidRPr="009463D2" w:rsidTr="00EB63FD">
        <w:trPr>
          <w:trHeight w:val="229"/>
        </w:trPr>
        <w:tc>
          <w:tcPr>
            <w:tcW w:w="1809" w:type="dxa"/>
          </w:tcPr>
          <w:p w:rsidR="009463D2" w:rsidRPr="009463D2" w:rsidRDefault="009463D2" w:rsidP="009463D2">
            <w:pPr>
              <w:autoSpaceDE w:val="0"/>
              <w:autoSpaceDN w:val="0"/>
              <w:adjustRightInd w:val="0"/>
              <w:spacing w:after="0" w:line="240" w:lineRule="auto"/>
              <w:rPr>
                <w:rFonts w:cs="Garamond"/>
                <w:color w:val="000000"/>
              </w:rPr>
            </w:pPr>
            <w:r w:rsidRPr="009463D2">
              <w:rPr>
                <w:rFonts w:cs="Garamond"/>
                <w:b/>
                <w:bCs/>
                <w:color w:val="000000"/>
              </w:rPr>
              <w:t xml:space="preserve">Suivi et évaluation </w:t>
            </w:r>
          </w:p>
        </w:tc>
        <w:tc>
          <w:tcPr>
            <w:tcW w:w="7621" w:type="dxa"/>
          </w:tcPr>
          <w:p w:rsidR="009463D2" w:rsidRDefault="009463D2" w:rsidP="009463D2">
            <w:pPr>
              <w:autoSpaceDE w:val="0"/>
              <w:autoSpaceDN w:val="0"/>
              <w:adjustRightInd w:val="0"/>
              <w:spacing w:after="0" w:line="240" w:lineRule="auto"/>
              <w:rPr>
                <w:rFonts w:cs="Times New Roman"/>
                <w:color w:val="000000"/>
              </w:rPr>
            </w:pPr>
            <w:r w:rsidRPr="009463D2">
              <w:rPr>
                <w:rFonts w:cs="Times New Roman"/>
                <w:color w:val="000000"/>
              </w:rPr>
              <w:t xml:space="preserve">− Disposer d’indicateurs SMART pour tous les niveaux du cadre logique </w:t>
            </w:r>
          </w:p>
          <w:p w:rsidR="00CE5EC8" w:rsidRPr="00CE5EC8" w:rsidRDefault="00CE5EC8" w:rsidP="00CE5EC8">
            <w:pPr>
              <w:autoSpaceDE w:val="0"/>
              <w:autoSpaceDN w:val="0"/>
              <w:adjustRightInd w:val="0"/>
              <w:spacing w:after="0" w:line="240" w:lineRule="auto"/>
              <w:rPr>
                <w:rFonts w:cs="Times New Roman"/>
                <w:color w:val="000000"/>
              </w:rPr>
            </w:pPr>
            <w:r w:rsidRPr="00CE5EC8">
              <w:rPr>
                <w:rFonts w:cs="Times New Roman"/>
                <w:color w:val="000000"/>
              </w:rPr>
              <w:t>−</w:t>
            </w:r>
            <w:r>
              <w:rPr>
                <w:rFonts w:cs="Times New Roman"/>
                <w:color w:val="000000"/>
              </w:rPr>
              <w:t xml:space="preserve"> Disposer de cibles pour l’approche genre</w:t>
            </w:r>
          </w:p>
          <w:p w:rsidR="009463D2" w:rsidRPr="009463D2" w:rsidRDefault="009463D2" w:rsidP="009463D2">
            <w:pPr>
              <w:autoSpaceDE w:val="0"/>
              <w:autoSpaceDN w:val="0"/>
              <w:adjustRightInd w:val="0"/>
              <w:spacing w:after="0" w:line="240" w:lineRule="auto"/>
              <w:rPr>
                <w:rFonts w:cs="Times New Roman"/>
                <w:color w:val="000000"/>
              </w:rPr>
            </w:pPr>
          </w:p>
        </w:tc>
      </w:tr>
    </w:tbl>
    <w:p w:rsidR="009463D2" w:rsidRDefault="009463D2" w:rsidP="009463D2">
      <w:pPr>
        <w:spacing w:after="0"/>
      </w:pPr>
    </w:p>
    <w:p w:rsidR="00375BA9" w:rsidRPr="00F23312" w:rsidRDefault="00375BA9" w:rsidP="00375BA9">
      <w:pPr>
        <w:pStyle w:val="Titre2"/>
        <w:spacing w:before="0"/>
        <w:rPr>
          <w:rFonts w:cs="Garamond"/>
          <w:b w:val="0"/>
          <w:color w:val="000000"/>
          <w:u w:val="single"/>
        </w:rPr>
      </w:pPr>
      <w:bookmarkStart w:id="64" w:name="_Toc425414598"/>
      <w:r w:rsidRPr="00375BA9">
        <w:rPr>
          <w:rFonts w:asciiTheme="minorHAnsi" w:hAnsiTheme="minorHAnsi" w:cs="ACaslonPro-Regular"/>
          <w:color w:val="auto"/>
          <w:sz w:val="22"/>
          <w:szCs w:val="22"/>
        </w:rPr>
        <w:t>IV.2 Leçons apprises</w:t>
      </w:r>
      <w:bookmarkEnd w:id="64"/>
    </w:p>
    <w:p w:rsidR="00375BA9" w:rsidRDefault="00375BA9" w:rsidP="00375BA9">
      <w:pPr>
        <w:autoSpaceDE w:val="0"/>
        <w:autoSpaceDN w:val="0"/>
        <w:adjustRightInd w:val="0"/>
        <w:spacing w:after="0" w:line="240" w:lineRule="auto"/>
        <w:jc w:val="both"/>
        <w:rPr>
          <w:rFonts w:cs="Garamond"/>
          <w:color w:val="000000"/>
        </w:rPr>
      </w:pPr>
      <w:r w:rsidRPr="00F23312">
        <w:rPr>
          <w:rFonts w:cs="Garamond"/>
          <w:color w:val="000000"/>
        </w:rPr>
        <w:t xml:space="preserve">Les leçons apprises dans le cadre du projet </w:t>
      </w:r>
      <w:r>
        <w:rPr>
          <w:rFonts w:cs="Garamond"/>
          <w:color w:val="000000"/>
        </w:rPr>
        <w:t>CB2</w:t>
      </w:r>
      <w:r w:rsidRPr="00F23312">
        <w:rPr>
          <w:rFonts w:cs="Garamond"/>
          <w:color w:val="000000"/>
        </w:rPr>
        <w:t xml:space="preserve"> et qui pourraient servir à des projets similaires sont présentées ci-après :</w:t>
      </w:r>
    </w:p>
    <w:p w:rsidR="00375BA9" w:rsidRDefault="00375BA9" w:rsidP="00375BA9">
      <w:pPr>
        <w:autoSpaceDE w:val="0"/>
        <w:autoSpaceDN w:val="0"/>
        <w:adjustRightInd w:val="0"/>
        <w:spacing w:after="0" w:line="240" w:lineRule="auto"/>
        <w:jc w:val="both"/>
        <w:rPr>
          <w:rFonts w:cs="Garamond"/>
          <w:color w:val="000000"/>
        </w:rPr>
      </w:pPr>
    </w:p>
    <w:p w:rsidR="00375BA9" w:rsidRDefault="00375BA9" w:rsidP="00375BA9">
      <w:pPr>
        <w:pStyle w:val="Paragraphedeliste"/>
        <w:numPr>
          <w:ilvl w:val="0"/>
          <w:numId w:val="4"/>
        </w:numPr>
        <w:autoSpaceDE w:val="0"/>
        <w:autoSpaceDN w:val="0"/>
        <w:adjustRightInd w:val="0"/>
        <w:spacing w:after="0" w:line="240" w:lineRule="auto"/>
        <w:jc w:val="both"/>
        <w:rPr>
          <w:rFonts w:cs="Garamond"/>
          <w:color w:val="000000"/>
        </w:rPr>
      </w:pPr>
      <w:r>
        <w:rPr>
          <w:rFonts w:cs="Garamond"/>
          <w:color w:val="000000"/>
        </w:rPr>
        <w:t>Les groupes cibles, pour la réussite de l’intégration de la démarche IEL aux niveaux central et local, sont identifiés. Leur implication nécessite de la part de l’UGP de communiquer à tous les niveaux sur les objectifs, les concepts et la démarche du projet. En effet, ces éléments apportent beaucoup de nouveautés dans la planification stratégique locale et doivent de ce fait être explicités aux groupes cibles pour qu’ils se les approprient dès les premières phases du projet.</w:t>
      </w:r>
    </w:p>
    <w:p w:rsidR="00375BA9" w:rsidRDefault="00375BA9" w:rsidP="00375BA9">
      <w:pPr>
        <w:pStyle w:val="Paragraphedeliste"/>
        <w:numPr>
          <w:ilvl w:val="0"/>
          <w:numId w:val="4"/>
        </w:numPr>
        <w:autoSpaceDE w:val="0"/>
        <w:autoSpaceDN w:val="0"/>
        <w:adjustRightInd w:val="0"/>
        <w:spacing w:after="0" w:line="240" w:lineRule="auto"/>
        <w:jc w:val="both"/>
        <w:rPr>
          <w:rFonts w:cs="Garamond"/>
          <w:color w:val="000000"/>
        </w:rPr>
      </w:pPr>
      <w:r>
        <w:rPr>
          <w:rFonts w:cs="Garamond"/>
          <w:color w:val="000000"/>
        </w:rPr>
        <w:t xml:space="preserve"> La nécessité de mettre en place des points focaux au niveau régional pour assurer le relai et une présence de proximité auprès des acteurs locaux.</w:t>
      </w:r>
    </w:p>
    <w:p w:rsidR="00375BA9" w:rsidRDefault="00375BA9" w:rsidP="00375BA9">
      <w:pPr>
        <w:pStyle w:val="Paragraphedeliste"/>
        <w:numPr>
          <w:ilvl w:val="0"/>
          <w:numId w:val="4"/>
        </w:numPr>
        <w:autoSpaceDE w:val="0"/>
        <w:autoSpaceDN w:val="0"/>
        <w:adjustRightInd w:val="0"/>
        <w:spacing w:after="0" w:line="240" w:lineRule="auto"/>
        <w:jc w:val="both"/>
        <w:rPr>
          <w:rFonts w:cs="Garamond"/>
          <w:color w:val="000000"/>
        </w:rPr>
      </w:pPr>
      <w:r>
        <w:rPr>
          <w:rFonts w:cs="Garamond"/>
          <w:color w:val="000000"/>
        </w:rPr>
        <w:t>Les sessions de formation sur les outils méthodologiques développés doivent nécessairement comprendre des ateliers d’application sur des cas concrets afin de faciliter la compréhension de la démarche et d’acquérir l’adhésion des groupes cibles.</w:t>
      </w:r>
    </w:p>
    <w:p w:rsidR="00375BA9" w:rsidRDefault="00375BA9" w:rsidP="00375BA9">
      <w:pPr>
        <w:pStyle w:val="Paragraphedeliste"/>
        <w:numPr>
          <w:ilvl w:val="0"/>
          <w:numId w:val="4"/>
        </w:numPr>
        <w:autoSpaceDE w:val="0"/>
        <w:autoSpaceDN w:val="0"/>
        <w:adjustRightInd w:val="0"/>
        <w:spacing w:after="0" w:line="240" w:lineRule="auto"/>
        <w:jc w:val="both"/>
        <w:rPr>
          <w:rFonts w:cs="Garamond"/>
          <w:color w:val="000000"/>
        </w:rPr>
      </w:pPr>
      <w:r>
        <w:rPr>
          <w:rFonts w:cs="Garamond"/>
          <w:color w:val="000000"/>
        </w:rPr>
        <w:t>L’appui et la synergie avec les autres projets et initiatives dans le domaine du renforcement des capacités (RC) ont montré leur efficacité dans le cadre de ce projet. En effet, le projet ACCN et le projet ADAGE ont catalysé les actions de RC soit en participant à l’amélioration des outils méthodologique soit en appuyant leur large diffusion et utilisation auprès des acteurs locaux.</w:t>
      </w:r>
    </w:p>
    <w:p w:rsidR="00375BA9" w:rsidRPr="00F23312" w:rsidRDefault="00375BA9" w:rsidP="00375BA9">
      <w:pPr>
        <w:pStyle w:val="Paragraphedeliste"/>
        <w:numPr>
          <w:ilvl w:val="0"/>
          <w:numId w:val="4"/>
        </w:numPr>
        <w:autoSpaceDE w:val="0"/>
        <w:autoSpaceDN w:val="0"/>
        <w:adjustRightInd w:val="0"/>
        <w:spacing w:after="0" w:line="240" w:lineRule="auto"/>
        <w:jc w:val="both"/>
        <w:rPr>
          <w:rFonts w:cs="Garamond"/>
          <w:color w:val="000000"/>
        </w:rPr>
      </w:pPr>
      <w:r>
        <w:rPr>
          <w:rFonts w:cs="Garamond"/>
          <w:color w:val="000000"/>
        </w:rPr>
        <w:t>L’évolution du contexte pays doit être prise en compte durant les différentes phases du projet pour intégrer les orientations qui en émanent dans la cadre logique du projet. Ces orientations peuvent impacter positivement et de manière significative les résultats du projet.</w:t>
      </w:r>
    </w:p>
    <w:p w:rsidR="00375BA9" w:rsidRDefault="00375BA9" w:rsidP="00375BA9">
      <w:pPr>
        <w:autoSpaceDE w:val="0"/>
        <w:autoSpaceDN w:val="0"/>
        <w:adjustRightInd w:val="0"/>
        <w:spacing w:after="0" w:line="240" w:lineRule="auto"/>
        <w:jc w:val="both"/>
        <w:rPr>
          <w:rFonts w:cs="Garamond"/>
          <w:color w:val="000000"/>
        </w:rPr>
      </w:pPr>
    </w:p>
    <w:p w:rsidR="00D43324" w:rsidRDefault="00D43324" w:rsidP="009463D2">
      <w:pPr>
        <w:spacing w:after="0"/>
      </w:pPr>
    </w:p>
    <w:p w:rsidR="00AD1A5C" w:rsidRDefault="00375BA9" w:rsidP="00375BA9">
      <w:pPr>
        <w:pStyle w:val="Titre1"/>
        <w:spacing w:before="0"/>
        <w:rPr>
          <w:rFonts w:asciiTheme="minorHAnsi" w:hAnsiTheme="minorHAnsi" w:cs="ACaslonPro-Regular"/>
          <w:color w:val="auto"/>
          <w:sz w:val="22"/>
          <w:szCs w:val="22"/>
        </w:rPr>
      </w:pPr>
      <w:bookmarkStart w:id="65" w:name="_Toc425414599"/>
      <w:r>
        <w:rPr>
          <w:rFonts w:asciiTheme="minorHAnsi" w:hAnsiTheme="minorHAnsi" w:cs="MyriadPro-Bold"/>
          <w:bCs w:val="0"/>
          <w:color w:val="auto"/>
          <w:sz w:val="22"/>
          <w:szCs w:val="22"/>
        </w:rPr>
        <w:t>V.</w:t>
      </w:r>
      <w:r w:rsidRPr="00375BA9">
        <w:rPr>
          <w:rFonts w:asciiTheme="minorHAnsi" w:hAnsiTheme="minorHAnsi" w:cs="MyriadPro-Bold"/>
          <w:bCs w:val="0"/>
          <w:color w:val="auto"/>
          <w:sz w:val="22"/>
          <w:szCs w:val="22"/>
        </w:rPr>
        <w:t>Recommandations</w:t>
      </w:r>
      <w:bookmarkEnd w:id="65"/>
    </w:p>
    <w:p w:rsidR="006B6530" w:rsidRDefault="006B6530" w:rsidP="006B6530">
      <w:pPr>
        <w:pStyle w:val="Titre2"/>
        <w:rPr>
          <w:rFonts w:asciiTheme="minorHAnsi" w:hAnsiTheme="minorHAnsi" w:cs="Calibri"/>
          <w:b w:val="0"/>
          <w:color w:val="auto"/>
          <w:sz w:val="22"/>
          <w:szCs w:val="22"/>
        </w:rPr>
      </w:pPr>
      <w:bookmarkStart w:id="66" w:name="_Toc420441514"/>
      <w:bookmarkStart w:id="67" w:name="_Toc420486575"/>
      <w:bookmarkStart w:id="68" w:name="_Toc424738402"/>
      <w:bookmarkStart w:id="69" w:name="_Toc424739972"/>
      <w:bookmarkStart w:id="70" w:name="_Toc425414600"/>
      <w:r w:rsidRPr="006B6530">
        <w:rPr>
          <w:rFonts w:asciiTheme="minorHAnsi" w:hAnsiTheme="minorHAnsi" w:cs="Calibri"/>
          <w:b w:val="0"/>
          <w:color w:val="auto"/>
          <w:sz w:val="22"/>
          <w:szCs w:val="22"/>
        </w:rPr>
        <w:t>En vue de maintenir et de renforcer les acquis du projet, un certain nombre de mesures est proposé :</w:t>
      </w:r>
      <w:bookmarkEnd w:id="66"/>
      <w:bookmarkEnd w:id="67"/>
      <w:bookmarkEnd w:id="68"/>
      <w:bookmarkEnd w:id="69"/>
      <w:bookmarkEnd w:id="70"/>
    </w:p>
    <w:tbl>
      <w:tblPr>
        <w:tblStyle w:val="Grilledutableau"/>
        <w:tblW w:w="0" w:type="auto"/>
        <w:tblLook w:val="04A0"/>
      </w:tblPr>
      <w:tblGrid>
        <w:gridCol w:w="3020"/>
        <w:gridCol w:w="3021"/>
        <w:gridCol w:w="3021"/>
      </w:tblGrid>
      <w:tr w:rsidR="00DD38EE" w:rsidRPr="00DD38EE" w:rsidTr="00DD38EE">
        <w:tc>
          <w:tcPr>
            <w:tcW w:w="3020" w:type="dxa"/>
            <w:shd w:val="clear" w:color="auto" w:fill="D9D9D9" w:themeFill="background1" w:themeFillShade="D9"/>
          </w:tcPr>
          <w:p w:rsidR="00DD38EE" w:rsidRPr="00DD38EE" w:rsidRDefault="00DD38EE" w:rsidP="00DD38EE">
            <w:pPr>
              <w:jc w:val="center"/>
              <w:rPr>
                <w:b/>
              </w:rPr>
            </w:pPr>
            <w:r w:rsidRPr="00DD38EE">
              <w:rPr>
                <w:b/>
                <w:lang w:val="fr-CA"/>
              </w:rPr>
              <w:t>Recommandations</w:t>
            </w:r>
          </w:p>
        </w:tc>
        <w:tc>
          <w:tcPr>
            <w:tcW w:w="3021" w:type="dxa"/>
            <w:shd w:val="clear" w:color="auto" w:fill="D9D9D9" w:themeFill="background1" w:themeFillShade="D9"/>
          </w:tcPr>
          <w:p w:rsidR="00DD38EE" w:rsidRPr="00DD38EE" w:rsidRDefault="00DD38EE" w:rsidP="00DD38EE">
            <w:pPr>
              <w:jc w:val="center"/>
              <w:rPr>
                <w:b/>
              </w:rPr>
            </w:pPr>
            <w:r w:rsidRPr="00DD38EE">
              <w:rPr>
                <w:b/>
                <w:lang w:val="fr-CA"/>
              </w:rPr>
              <w:t>Responsable</w:t>
            </w:r>
            <w:r w:rsidRPr="00DD38EE">
              <w:rPr>
                <w:b/>
              </w:rPr>
              <w:t>s</w:t>
            </w:r>
          </w:p>
        </w:tc>
        <w:tc>
          <w:tcPr>
            <w:tcW w:w="3021" w:type="dxa"/>
            <w:shd w:val="clear" w:color="auto" w:fill="D9D9D9" w:themeFill="background1" w:themeFillShade="D9"/>
          </w:tcPr>
          <w:p w:rsidR="00DD38EE" w:rsidRPr="00DD38EE" w:rsidRDefault="00DD38EE" w:rsidP="00DD38EE">
            <w:pPr>
              <w:jc w:val="center"/>
              <w:rPr>
                <w:b/>
              </w:rPr>
            </w:pPr>
            <w:r w:rsidRPr="00DD38EE">
              <w:rPr>
                <w:b/>
                <w:lang w:val="fr-CA"/>
              </w:rPr>
              <w:t>Échéances</w:t>
            </w:r>
            <w:r>
              <w:rPr>
                <w:b/>
                <w:lang w:val="fr-CA"/>
              </w:rPr>
              <w:t xml:space="preserve"> (indicatif)</w:t>
            </w:r>
          </w:p>
        </w:tc>
      </w:tr>
      <w:tr w:rsidR="00DD38EE" w:rsidTr="00DD38EE">
        <w:tc>
          <w:tcPr>
            <w:tcW w:w="3020" w:type="dxa"/>
          </w:tcPr>
          <w:p w:rsidR="00DD38EE" w:rsidRDefault="00A43A7C" w:rsidP="00DD38EE">
            <w:pPr>
              <w:pStyle w:val="Titre2"/>
              <w:jc w:val="both"/>
              <w:outlineLvl w:val="1"/>
              <w:rPr>
                <w:rFonts w:asciiTheme="minorHAnsi" w:hAnsiTheme="minorHAnsi" w:cs="Calibri"/>
                <w:b w:val="0"/>
                <w:color w:val="auto"/>
                <w:sz w:val="22"/>
                <w:szCs w:val="22"/>
              </w:rPr>
            </w:pPr>
            <w:bookmarkStart w:id="71" w:name="_Toc420441515"/>
            <w:bookmarkStart w:id="72" w:name="_Toc420486576"/>
            <w:bookmarkStart w:id="73" w:name="_Toc420508248"/>
            <w:bookmarkStart w:id="74" w:name="_Toc424738403"/>
            <w:bookmarkStart w:id="75" w:name="_Toc424739973"/>
            <w:bookmarkStart w:id="76" w:name="_Toc425414601"/>
            <w:r>
              <w:rPr>
                <w:rFonts w:asciiTheme="minorHAnsi" w:hAnsiTheme="minorHAnsi" w:cs="Calibri"/>
                <w:b w:val="0"/>
                <w:color w:val="auto"/>
                <w:sz w:val="22"/>
                <w:szCs w:val="22"/>
              </w:rPr>
              <w:t>1</w:t>
            </w:r>
            <w:r w:rsidR="00DD38EE" w:rsidRPr="006B6530">
              <w:rPr>
                <w:rFonts w:asciiTheme="minorHAnsi" w:hAnsiTheme="minorHAnsi" w:cs="Calibri"/>
                <w:b w:val="0"/>
                <w:color w:val="auto"/>
                <w:sz w:val="22"/>
                <w:szCs w:val="22"/>
              </w:rPr>
              <w:t xml:space="preserve">− Renforcer le plaidoyer en vue d’adopter </w:t>
            </w:r>
            <w:r w:rsidR="00DD38EE">
              <w:rPr>
                <w:rFonts w:asciiTheme="minorHAnsi" w:hAnsiTheme="minorHAnsi" w:cs="Calibri"/>
                <w:b w:val="0"/>
                <w:color w:val="auto"/>
                <w:sz w:val="22"/>
                <w:szCs w:val="22"/>
              </w:rPr>
              <w:t>les amendements au projet de loi portant Charte Communale, identifiés par l’étude juridique réalisée dans le cadre du projet CB2</w:t>
            </w:r>
            <w:bookmarkEnd w:id="71"/>
            <w:bookmarkEnd w:id="72"/>
            <w:bookmarkEnd w:id="73"/>
            <w:bookmarkEnd w:id="74"/>
            <w:bookmarkEnd w:id="75"/>
            <w:bookmarkEnd w:id="76"/>
          </w:p>
          <w:p w:rsidR="00DD38EE" w:rsidRDefault="00DD38EE" w:rsidP="00DD38EE"/>
        </w:tc>
        <w:tc>
          <w:tcPr>
            <w:tcW w:w="3021" w:type="dxa"/>
          </w:tcPr>
          <w:p w:rsidR="00DD38EE" w:rsidRDefault="00DD38EE" w:rsidP="00DD38EE">
            <w:r>
              <w:t>MDCE, DGCL</w:t>
            </w:r>
          </w:p>
        </w:tc>
        <w:tc>
          <w:tcPr>
            <w:tcW w:w="3021" w:type="dxa"/>
          </w:tcPr>
          <w:p w:rsidR="00DD38EE" w:rsidRDefault="00DD38EE" w:rsidP="00DD38EE">
            <w:r>
              <w:t>Avant l’adoption du texte final modifiant la Charte Communale</w:t>
            </w:r>
          </w:p>
        </w:tc>
      </w:tr>
      <w:tr w:rsidR="00DD38EE" w:rsidTr="00DD38EE">
        <w:tc>
          <w:tcPr>
            <w:tcW w:w="3020" w:type="dxa"/>
          </w:tcPr>
          <w:p w:rsidR="00DD38EE" w:rsidRDefault="00A43A7C" w:rsidP="00DD38EE">
            <w:pPr>
              <w:pStyle w:val="Titre2"/>
              <w:outlineLvl w:val="1"/>
              <w:rPr>
                <w:rFonts w:asciiTheme="minorHAnsi" w:hAnsiTheme="minorHAnsi" w:cs="Calibri"/>
                <w:b w:val="0"/>
                <w:color w:val="auto"/>
                <w:sz w:val="22"/>
                <w:szCs w:val="22"/>
              </w:rPr>
            </w:pPr>
            <w:bookmarkStart w:id="77" w:name="_Toc420441516"/>
            <w:bookmarkStart w:id="78" w:name="_Toc420486577"/>
            <w:bookmarkStart w:id="79" w:name="_Toc420508249"/>
            <w:bookmarkStart w:id="80" w:name="_Toc424738404"/>
            <w:bookmarkStart w:id="81" w:name="_Toc424739974"/>
            <w:bookmarkStart w:id="82" w:name="_Toc425414602"/>
            <w:r>
              <w:rPr>
                <w:rFonts w:asciiTheme="minorHAnsi" w:hAnsiTheme="minorHAnsi" w:cs="Calibri"/>
                <w:b w:val="0"/>
                <w:color w:val="auto"/>
                <w:sz w:val="22"/>
                <w:szCs w:val="22"/>
              </w:rPr>
              <w:t>2</w:t>
            </w:r>
            <w:r w:rsidR="00DD38EE" w:rsidRPr="006B6530">
              <w:rPr>
                <w:rFonts w:asciiTheme="minorHAnsi" w:hAnsiTheme="minorHAnsi" w:cs="Calibri"/>
                <w:b w:val="0"/>
                <w:color w:val="auto"/>
                <w:sz w:val="22"/>
                <w:szCs w:val="22"/>
              </w:rPr>
              <w:t xml:space="preserve">− </w:t>
            </w:r>
            <w:r w:rsidR="00DD38EE">
              <w:rPr>
                <w:rFonts w:asciiTheme="minorHAnsi" w:hAnsiTheme="minorHAnsi" w:cs="Calibri"/>
                <w:b w:val="0"/>
                <w:color w:val="auto"/>
                <w:sz w:val="22"/>
                <w:szCs w:val="22"/>
              </w:rPr>
              <w:t>Assurer le suivi de la stratégie de généralisation par un des services au sein de la DPCC.</w:t>
            </w:r>
            <w:bookmarkEnd w:id="77"/>
            <w:bookmarkEnd w:id="78"/>
            <w:bookmarkEnd w:id="79"/>
            <w:bookmarkEnd w:id="80"/>
            <w:bookmarkEnd w:id="81"/>
            <w:bookmarkEnd w:id="82"/>
          </w:p>
          <w:p w:rsidR="00DD38EE" w:rsidRDefault="00DD38EE" w:rsidP="00DD38EE"/>
        </w:tc>
        <w:tc>
          <w:tcPr>
            <w:tcW w:w="3021" w:type="dxa"/>
          </w:tcPr>
          <w:p w:rsidR="00DD38EE" w:rsidRDefault="00DD38EE" w:rsidP="00DD38EE">
            <w:r>
              <w:t>MDCE</w:t>
            </w:r>
          </w:p>
        </w:tc>
        <w:tc>
          <w:tcPr>
            <w:tcW w:w="3021" w:type="dxa"/>
          </w:tcPr>
          <w:p w:rsidR="00DD38EE" w:rsidRDefault="00DD38EE" w:rsidP="00DD38EE">
            <w:r>
              <w:t>Septembre 2015</w:t>
            </w:r>
          </w:p>
        </w:tc>
      </w:tr>
      <w:tr w:rsidR="00DD38EE" w:rsidTr="00DD38EE">
        <w:tc>
          <w:tcPr>
            <w:tcW w:w="3020" w:type="dxa"/>
          </w:tcPr>
          <w:p w:rsidR="00DD38EE" w:rsidRDefault="00A43A7C" w:rsidP="00DD38EE">
            <w:pPr>
              <w:pStyle w:val="Titre2"/>
              <w:outlineLvl w:val="1"/>
              <w:rPr>
                <w:rFonts w:asciiTheme="minorHAnsi" w:hAnsiTheme="minorHAnsi" w:cs="Calibri"/>
                <w:b w:val="0"/>
                <w:color w:val="auto"/>
                <w:sz w:val="22"/>
                <w:szCs w:val="22"/>
              </w:rPr>
            </w:pPr>
            <w:bookmarkStart w:id="83" w:name="_Toc420441517"/>
            <w:bookmarkStart w:id="84" w:name="_Toc420486578"/>
            <w:bookmarkStart w:id="85" w:name="_Toc420508250"/>
            <w:bookmarkStart w:id="86" w:name="_Toc424738405"/>
            <w:bookmarkStart w:id="87" w:name="_Toc424739975"/>
            <w:bookmarkStart w:id="88" w:name="_Toc425414603"/>
            <w:r>
              <w:rPr>
                <w:rFonts w:asciiTheme="minorHAnsi" w:hAnsiTheme="minorHAnsi" w:cs="Calibri"/>
                <w:b w:val="0"/>
                <w:color w:val="auto"/>
                <w:sz w:val="22"/>
                <w:szCs w:val="22"/>
              </w:rPr>
              <w:t>3</w:t>
            </w:r>
            <w:r w:rsidR="00DD38EE" w:rsidRPr="006B6530">
              <w:rPr>
                <w:rFonts w:asciiTheme="minorHAnsi" w:hAnsiTheme="minorHAnsi" w:cs="Calibri"/>
                <w:b w:val="0"/>
                <w:color w:val="auto"/>
                <w:sz w:val="22"/>
                <w:szCs w:val="22"/>
              </w:rPr>
              <w:t>− Maintenir les actions de sensibilisation des parties prenantes du projet</w:t>
            </w:r>
            <w:bookmarkEnd w:id="83"/>
            <w:bookmarkEnd w:id="84"/>
            <w:bookmarkEnd w:id="85"/>
            <w:bookmarkEnd w:id="86"/>
            <w:bookmarkEnd w:id="87"/>
            <w:bookmarkEnd w:id="88"/>
          </w:p>
          <w:p w:rsidR="00DD38EE" w:rsidRDefault="00DD38EE" w:rsidP="00DD38EE"/>
        </w:tc>
        <w:tc>
          <w:tcPr>
            <w:tcW w:w="3021" w:type="dxa"/>
          </w:tcPr>
          <w:p w:rsidR="00DD38EE" w:rsidRDefault="00DD38EE" w:rsidP="00DD38EE">
            <w:r>
              <w:t>MDCE, DGCL, PNUD</w:t>
            </w:r>
          </w:p>
        </w:tc>
        <w:tc>
          <w:tcPr>
            <w:tcW w:w="3021" w:type="dxa"/>
          </w:tcPr>
          <w:p w:rsidR="00DD38EE" w:rsidRDefault="00DD38EE" w:rsidP="00DD38EE">
            <w:r>
              <w:t>1 action par trimestre ou semestre</w:t>
            </w:r>
          </w:p>
        </w:tc>
      </w:tr>
      <w:tr w:rsidR="00DD38EE" w:rsidTr="00DD38EE">
        <w:tc>
          <w:tcPr>
            <w:tcW w:w="3020" w:type="dxa"/>
          </w:tcPr>
          <w:p w:rsidR="00DD38EE" w:rsidRPr="00446497" w:rsidRDefault="00A43A7C" w:rsidP="00DD38EE">
            <w:pPr>
              <w:spacing w:before="240"/>
            </w:pPr>
            <w:r>
              <w:t>4</w:t>
            </w:r>
            <w:r w:rsidR="00DD38EE" w:rsidRPr="00446497">
              <w:t>− Mettre en place une plateforme collaborative d’échange des expériences au profit des communes ayant bénéficié du projet</w:t>
            </w:r>
            <w:r w:rsidR="00DD38EE">
              <w:t xml:space="preserve"> et les autres qui en manifestent l’intérêt.</w:t>
            </w:r>
          </w:p>
          <w:p w:rsidR="00DD38EE" w:rsidRDefault="00DD38EE" w:rsidP="00DD38EE"/>
        </w:tc>
        <w:tc>
          <w:tcPr>
            <w:tcW w:w="3021" w:type="dxa"/>
          </w:tcPr>
          <w:p w:rsidR="00DD38EE" w:rsidRDefault="009514B9" w:rsidP="00DD38EE">
            <w:r>
              <w:t>MDCE, DGCL, PNUD</w:t>
            </w:r>
          </w:p>
        </w:tc>
        <w:tc>
          <w:tcPr>
            <w:tcW w:w="3021" w:type="dxa"/>
          </w:tcPr>
          <w:p w:rsidR="00DD38EE" w:rsidRDefault="009514B9" w:rsidP="00DD38EE">
            <w:r>
              <w:t>Décembre 2015</w:t>
            </w:r>
          </w:p>
        </w:tc>
      </w:tr>
      <w:tr w:rsidR="00DD38EE" w:rsidTr="00DD38EE">
        <w:tc>
          <w:tcPr>
            <w:tcW w:w="3020" w:type="dxa"/>
          </w:tcPr>
          <w:p w:rsidR="00DD38EE" w:rsidRPr="006B6530" w:rsidRDefault="00A43A7C" w:rsidP="00DD38EE">
            <w:pPr>
              <w:pStyle w:val="Titre2"/>
              <w:outlineLvl w:val="1"/>
              <w:rPr>
                <w:rFonts w:asciiTheme="minorHAnsi" w:hAnsiTheme="minorHAnsi" w:cs="Calibri"/>
                <w:b w:val="0"/>
                <w:color w:val="auto"/>
                <w:sz w:val="22"/>
                <w:szCs w:val="22"/>
              </w:rPr>
            </w:pPr>
            <w:bookmarkStart w:id="89" w:name="_Toc420441518"/>
            <w:bookmarkStart w:id="90" w:name="_Toc420486579"/>
            <w:bookmarkStart w:id="91" w:name="_Toc420508251"/>
            <w:bookmarkStart w:id="92" w:name="_Toc424738406"/>
            <w:bookmarkStart w:id="93" w:name="_Toc424739976"/>
            <w:bookmarkStart w:id="94" w:name="_Toc425414604"/>
            <w:r>
              <w:rPr>
                <w:rFonts w:asciiTheme="minorHAnsi" w:hAnsiTheme="minorHAnsi" w:cs="Calibri"/>
                <w:b w:val="0"/>
                <w:color w:val="auto"/>
                <w:sz w:val="22"/>
                <w:szCs w:val="22"/>
              </w:rPr>
              <w:t>5</w:t>
            </w:r>
            <w:r w:rsidR="00DD38EE" w:rsidRPr="006B6530">
              <w:rPr>
                <w:rFonts w:asciiTheme="minorHAnsi" w:hAnsiTheme="minorHAnsi" w:cs="Calibri"/>
                <w:b w:val="0"/>
                <w:color w:val="auto"/>
                <w:sz w:val="22"/>
                <w:szCs w:val="22"/>
              </w:rPr>
              <w:t xml:space="preserve">− </w:t>
            </w:r>
            <w:r w:rsidR="00DD38EE">
              <w:rPr>
                <w:rFonts w:asciiTheme="minorHAnsi" w:hAnsiTheme="minorHAnsi" w:cs="Calibri"/>
                <w:b w:val="0"/>
                <w:color w:val="auto"/>
                <w:sz w:val="22"/>
                <w:szCs w:val="22"/>
              </w:rPr>
              <w:t xml:space="preserve">Prévoir d’inviter des secrétaires généraux de communesau cycle de </w:t>
            </w:r>
            <w:r w:rsidR="00DD38EE" w:rsidRPr="006B6530">
              <w:rPr>
                <w:rFonts w:asciiTheme="minorHAnsi" w:hAnsiTheme="minorHAnsi" w:cs="Calibri"/>
                <w:b w:val="0"/>
                <w:color w:val="auto"/>
                <w:sz w:val="22"/>
                <w:szCs w:val="22"/>
              </w:rPr>
              <w:t xml:space="preserve">formation des formateurs </w:t>
            </w:r>
            <w:r w:rsidR="00DD38EE">
              <w:rPr>
                <w:rFonts w:asciiTheme="minorHAnsi" w:hAnsiTheme="minorHAnsi" w:cs="Calibri"/>
                <w:b w:val="0"/>
                <w:color w:val="auto"/>
                <w:sz w:val="22"/>
                <w:szCs w:val="22"/>
              </w:rPr>
              <w:t>des Agents de Développement Provinciaux-Préfectoraux</w:t>
            </w:r>
            <w:bookmarkEnd w:id="89"/>
            <w:bookmarkEnd w:id="90"/>
            <w:bookmarkEnd w:id="91"/>
            <w:bookmarkEnd w:id="92"/>
            <w:bookmarkEnd w:id="93"/>
            <w:bookmarkEnd w:id="94"/>
          </w:p>
          <w:p w:rsidR="00DD38EE" w:rsidRDefault="00DD38EE" w:rsidP="00DD38EE"/>
        </w:tc>
        <w:tc>
          <w:tcPr>
            <w:tcW w:w="3021" w:type="dxa"/>
          </w:tcPr>
          <w:p w:rsidR="00DD38EE" w:rsidRDefault="009514B9" w:rsidP="00DD38EE">
            <w:r>
              <w:t>MDCE, DGCL</w:t>
            </w:r>
          </w:p>
        </w:tc>
        <w:tc>
          <w:tcPr>
            <w:tcW w:w="3021" w:type="dxa"/>
          </w:tcPr>
          <w:p w:rsidR="00DD38EE" w:rsidRDefault="009514B9" w:rsidP="009514B9">
            <w:r>
              <w:t>Avant le démarrage du cycle de formation</w:t>
            </w:r>
          </w:p>
        </w:tc>
      </w:tr>
      <w:tr w:rsidR="00DD38EE" w:rsidTr="00DD38EE">
        <w:tc>
          <w:tcPr>
            <w:tcW w:w="3020" w:type="dxa"/>
          </w:tcPr>
          <w:p w:rsidR="00DD38EE" w:rsidRDefault="00A43A7C" w:rsidP="00DD38EE">
            <w:pPr>
              <w:pStyle w:val="Titre2"/>
              <w:outlineLvl w:val="1"/>
              <w:rPr>
                <w:rFonts w:asciiTheme="minorHAnsi" w:hAnsiTheme="minorHAnsi" w:cs="Calibri"/>
                <w:b w:val="0"/>
                <w:color w:val="auto"/>
                <w:sz w:val="22"/>
                <w:szCs w:val="22"/>
              </w:rPr>
            </w:pPr>
            <w:bookmarkStart w:id="95" w:name="_Toc420441519"/>
            <w:bookmarkStart w:id="96" w:name="_Toc420486580"/>
            <w:bookmarkStart w:id="97" w:name="_Toc420508252"/>
            <w:bookmarkStart w:id="98" w:name="_Toc424738407"/>
            <w:bookmarkStart w:id="99" w:name="_Toc424739977"/>
            <w:bookmarkStart w:id="100" w:name="_Toc425414605"/>
            <w:r>
              <w:rPr>
                <w:rFonts w:asciiTheme="minorHAnsi" w:hAnsiTheme="minorHAnsi" w:cs="Calibri"/>
                <w:b w:val="0"/>
                <w:color w:val="auto"/>
                <w:sz w:val="22"/>
                <w:szCs w:val="22"/>
              </w:rPr>
              <w:t>6</w:t>
            </w:r>
            <w:r w:rsidR="00DD38EE" w:rsidRPr="006B6530">
              <w:rPr>
                <w:rFonts w:asciiTheme="minorHAnsi" w:hAnsiTheme="minorHAnsi" w:cs="Calibri"/>
                <w:b w:val="0"/>
                <w:color w:val="auto"/>
                <w:sz w:val="22"/>
                <w:szCs w:val="22"/>
              </w:rPr>
              <w:t xml:space="preserve">− </w:t>
            </w:r>
            <w:r w:rsidR="00DD38EE">
              <w:rPr>
                <w:rFonts w:asciiTheme="minorHAnsi" w:hAnsiTheme="minorHAnsi" w:cs="Calibri"/>
                <w:b w:val="0"/>
                <w:color w:val="auto"/>
                <w:sz w:val="22"/>
                <w:szCs w:val="22"/>
              </w:rPr>
              <w:t>Maintenir le suivi avec les GREET en développant le couplage entre le SIC et le système de suivi de l’ONEM (suivi des indicateurs).</w:t>
            </w:r>
            <w:bookmarkEnd w:id="95"/>
            <w:bookmarkEnd w:id="96"/>
            <w:bookmarkEnd w:id="97"/>
            <w:bookmarkEnd w:id="98"/>
            <w:bookmarkEnd w:id="99"/>
            <w:bookmarkEnd w:id="100"/>
          </w:p>
          <w:p w:rsidR="00DD38EE" w:rsidRDefault="00DD38EE" w:rsidP="00DD38EE"/>
        </w:tc>
        <w:tc>
          <w:tcPr>
            <w:tcW w:w="3021" w:type="dxa"/>
          </w:tcPr>
          <w:p w:rsidR="00DD38EE" w:rsidRDefault="009514B9" w:rsidP="00DD38EE">
            <w:r>
              <w:t>MDCE, DGCL</w:t>
            </w:r>
          </w:p>
        </w:tc>
        <w:tc>
          <w:tcPr>
            <w:tcW w:w="3021" w:type="dxa"/>
          </w:tcPr>
          <w:p w:rsidR="00DD38EE" w:rsidRDefault="009514B9" w:rsidP="00DD38EE">
            <w:r>
              <w:t>Décembre 2015</w:t>
            </w:r>
          </w:p>
        </w:tc>
      </w:tr>
      <w:tr w:rsidR="00DD38EE" w:rsidTr="00DD38EE">
        <w:tc>
          <w:tcPr>
            <w:tcW w:w="3020" w:type="dxa"/>
          </w:tcPr>
          <w:p w:rsidR="00DD38EE" w:rsidRPr="00EA4248" w:rsidRDefault="00A43A7C" w:rsidP="00DD38EE">
            <w:pPr>
              <w:spacing w:before="240"/>
            </w:pPr>
            <w:r>
              <w:t>7</w:t>
            </w:r>
            <w:r w:rsidR="00DD38EE" w:rsidRPr="00EA4248">
              <w:t>−</w:t>
            </w:r>
            <w:r w:rsidR="00DD38EE">
              <w:t xml:space="preserve"> Prévoir un format de reporting pour le suivi des </w:t>
            </w:r>
            <w:r w:rsidR="00DD38EE">
              <w:lastRenderedPageBreak/>
              <w:t>indicateurs des PCD verdis.</w:t>
            </w:r>
          </w:p>
          <w:p w:rsidR="00DD38EE" w:rsidRDefault="00DD38EE" w:rsidP="00DD38EE"/>
        </w:tc>
        <w:tc>
          <w:tcPr>
            <w:tcW w:w="3021" w:type="dxa"/>
          </w:tcPr>
          <w:p w:rsidR="00DD38EE" w:rsidRDefault="009514B9" w:rsidP="00DD38EE">
            <w:r>
              <w:lastRenderedPageBreak/>
              <w:t>MDCE, DGCL</w:t>
            </w:r>
          </w:p>
        </w:tc>
        <w:tc>
          <w:tcPr>
            <w:tcW w:w="3021" w:type="dxa"/>
          </w:tcPr>
          <w:p w:rsidR="00DD38EE" w:rsidRDefault="009514B9" w:rsidP="00DD38EE">
            <w:r>
              <w:t>Septembre 2015</w:t>
            </w:r>
          </w:p>
        </w:tc>
      </w:tr>
      <w:tr w:rsidR="00DD38EE" w:rsidTr="00DD38EE">
        <w:tc>
          <w:tcPr>
            <w:tcW w:w="3020" w:type="dxa"/>
          </w:tcPr>
          <w:p w:rsidR="00DD38EE" w:rsidRDefault="00A43A7C" w:rsidP="00DD38EE">
            <w:r>
              <w:lastRenderedPageBreak/>
              <w:t>8</w:t>
            </w:r>
            <w:r w:rsidR="00DD38EE" w:rsidRPr="00B25AC5">
              <w:t>−</w:t>
            </w:r>
            <w:r w:rsidR="00DD38EE">
              <w:t xml:space="preserve"> Réaliser un atelier de présentation des résultats du projet CB2 aux responsables de la CN-INDH</w:t>
            </w:r>
          </w:p>
          <w:p w:rsidR="00DD38EE" w:rsidRDefault="00DD38EE" w:rsidP="00DD38EE"/>
        </w:tc>
        <w:tc>
          <w:tcPr>
            <w:tcW w:w="3021" w:type="dxa"/>
          </w:tcPr>
          <w:p w:rsidR="00DD38EE" w:rsidRDefault="009514B9" w:rsidP="00DD38EE">
            <w:r>
              <w:t>MDCE, DGCL, PNUD</w:t>
            </w:r>
          </w:p>
        </w:tc>
        <w:tc>
          <w:tcPr>
            <w:tcW w:w="3021" w:type="dxa"/>
          </w:tcPr>
          <w:p w:rsidR="00DD38EE" w:rsidRDefault="009514B9" w:rsidP="00DD38EE">
            <w:r>
              <w:t>Septembre 2015</w:t>
            </w:r>
          </w:p>
        </w:tc>
      </w:tr>
      <w:tr w:rsidR="00DD38EE" w:rsidTr="00DD38EE">
        <w:tc>
          <w:tcPr>
            <w:tcW w:w="3020" w:type="dxa"/>
          </w:tcPr>
          <w:p w:rsidR="00DD38EE" w:rsidRDefault="00A43A7C" w:rsidP="00DD38EE">
            <w:r>
              <w:t>9</w:t>
            </w:r>
            <w:r w:rsidR="00DD38EE" w:rsidRPr="00D33CD8">
              <w:t>−</w:t>
            </w:r>
            <w:r w:rsidR="00DD38EE">
              <w:t xml:space="preserve"> Intégrer dans les GREET et dans les cycles de formation, les représentants des CLDH et des CPDH</w:t>
            </w:r>
          </w:p>
          <w:p w:rsidR="00DD38EE" w:rsidRDefault="00DD38EE" w:rsidP="00DD38EE"/>
        </w:tc>
        <w:tc>
          <w:tcPr>
            <w:tcW w:w="3021" w:type="dxa"/>
          </w:tcPr>
          <w:p w:rsidR="00DD38EE" w:rsidRDefault="009514B9" w:rsidP="00DD38EE">
            <w:r>
              <w:t>MDCE, DGCL</w:t>
            </w:r>
          </w:p>
        </w:tc>
        <w:tc>
          <w:tcPr>
            <w:tcW w:w="3021" w:type="dxa"/>
          </w:tcPr>
          <w:p w:rsidR="00DD38EE" w:rsidRDefault="009514B9" w:rsidP="00DD38EE">
            <w:r>
              <w:t>Septembre 2015</w:t>
            </w:r>
          </w:p>
        </w:tc>
      </w:tr>
      <w:tr w:rsidR="00DD38EE" w:rsidTr="00DD38EE">
        <w:tc>
          <w:tcPr>
            <w:tcW w:w="3020" w:type="dxa"/>
          </w:tcPr>
          <w:p w:rsidR="00DD38EE" w:rsidRDefault="00A43A7C" w:rsidP="00DD38EE">
            <w:r>
              <w:t>10</w:t>
            </w:r>
            <w:r w:rsidR="00DD38EE" w:rsidRPr="00D43324">
              <w:t>−</w:t>
            </w:r>
            <w:r w:rsidR="00DD38EE">
              <w:t xml:space="preserve"> Les communes cibles de l’INDH ayant participé au verdissement de leur PCD dans le cadre du projet CB2 devraient appliquer la même approche sur leur ILDH.</w:t>
            </w:r>
          </w:p>
          <w:p w:rsidR="00DD38EE" w:rsidRDefault="00DD38EE" w:rsidP="00DD38EE"/>
        </w:tc>
        <w:tc>
          <w:tcPr>
            <w:tcW w:w="3021" w:type="dxa"/>
          </w:tcPr>
          <w:p w:rsidR="00DD38EE" w:rsidRDefault="009514B9" w:rsidP="00DD38EE">
            <w:r>
              <w:t>MDCE, DGCL</w:t>
            </w:r>
          </w:p>
        </w:tc>
        <w:tc>
          <w:tcPr>
            <w:tcW w:w="3021" w:type="dxa"/>
          </w:tcPr>
          <w:p w:rsidR="00DD38EE" w:rsidRDefault="009514B9" w:rsidP="00DD38EE">
            <w:r>
              <w:t>Octobre 2015</w:t>
            </w:r>
          </w:p>
        </w:tc>
      </w:tr>
      <w:tr w:rsidR="00DD38EE" w:rsidTr="00DD38EE">
        <w:tc>
          <w:tcPr>
            <w:tcW w:w="3020" w:type="dxa"/>
          </w:tcPr>
          <w:p w:rsidR="00DD38EE" w:rsidRDefault="00A43A7C" w:rsidP="00DD38EE">
            <w:r>
              <w:t>11</w:t>
            </w:r>
            <w:r w:rsidR="00DD38EE" w:rsidRPr="00D33CD8">
              <w:t>−</w:t>
            </w:r>
            <w:r w:rsidR="00DD38EE">
              <w:t xml:space="preserve"> Assurer une large diffusion des PCD ayant intégré la démarche IEL</w:t>
            </w:r>
          </w:p>
          <w:p w:rsidR="00DD38EE" w:rsidRDefault="00DD38EE" w:rsidP="00DD38EE"/>
        </w:tc>
        <w:tc>
          <w:tcPr>
            <w:tcW w:w="3021" w:type="dxa"/>
          </w:tcPr>
          <w:p w:rsidR="00DD38EE" w:rsidRDefault="009514B9" w:rsidP="00DD38EE">
            <w:r>
              <w:t>MDCE, DGCL</w:t>
            </w:r>
          </w:p>
        </w:tc>
        <w:tc>
          <w:tcPr>
            <w:tcW w:w="3021" w:type="dxa"/>
          </w:tcPr>
          <w:p w:rsidR="00DD38EE" w:rsidRDefault="009514B9" w:rsidP="00DD38EE">
            <w:r>
              <w:t>Septembre 2015</w:t>
            </w:r>
          </w:p>
        </w:tc>
      </w:tr>
      <w:tr w:rsidR="00DD38EE" w:rsidTr="00DD38EE">
        <w:tc>
          <w:tcPr>
            <w:tcW w:w="3020" w:type="dxa"/>
          </w:tcPr>
          <w:p w:rsidR="00DD38EE" w:rsidRDefault="00A43A7C" w:rsidP="00DD38EE">
            <w:r>
              <w:t>12</w:t>
            </w:r>
            <w:r w:rsidR="00DD38EE" w:rsidRPr="00EA4248">
              <w:t>−</w:t>
            </w:r>
            <w:r w:rsidR="00DD38EE">
              <w:t xml:space="preserve"> Assurer une large diffusion des outils méthodologiques</w:t>
            </w:r>
          </w:p>
          <w:p w:rsidR="00DD38EE" w:rsidRDefault="00DD38EE" w:rsidP="00DD38EE"/>
        </w:tc>
        <w:tc>
          <w:tcPr>
            <w:tcW w:w="3021" w:type="dxa"/>
          </w:tcPr>
          <w:p w:rsidR="00DD38EE" w:rsidRDefault="009514B9" w:rsidP="00DD38EE">
            <w:r>
              <w:t>MDCE, DGCL</w:t>
            </w:r>
          </w:p>
        </w:tc>
        <w:tc>
          <w:tcPr>
            <w:tcW w:w="3021" w:type="dxa"/>
          </w:tcPr>
          <w:p w:rsidR="00DD38EE" w:rsidRDefault="009514B9" w:rsidP="00DD38EE">
            <w:r>
              <w:t>Octobre 2015</w:t>
            </w:r>
          </w:p>
        </w:tc>
      </w:tr>
    </w:tbl>
    <w:p w:rsidR="00DD38EE" w:rsidRDefault="00DD38EE" w:rsidP="000560B8">
      <w:pPr>
        <w:spacing w:after="0"/>
      </w:pPr>
    </w:p>
    <w:p w:rsidR="000560B8" w:rsidRDefault="000560B8" w:rsidP="000560B8">
      <w:pPr>
        <w:spacing w:after="0"/>
        <w:jc w:val="both"/>
      </w:pPr>
      <w:r w:rsidRPr="000560B8">
        <w:t>Ces recommandations sont présentées ci-dessus selon l’ordre d’importance des actions à engager en vue d’améliorer les résultats du projet CB2. Cette hiérarchisation n’enlève en rien de l’importance des actions placées en dernier rang, mais elle est fournie ici pour insister sur l’ordre d’engagement des actions. Les quatre dernières actions pourraient être conduites en parallèle avec les autres.</w:t>
      </w:r>
    </w:p>
    <w:p w:rsidR="000560B8" w:rsidRPr="00DD38EE" w:rsidRDefault="000560B8" w:rsidP="000560B8">
      <w:pPr>
        <w:spacing w:after="0"/>
      </w:pPr>
    </w:p>
    <w:p w:rsidR="00AD1A5C" w:rsidRDefault="009463D2" w:rsidP="009463D2">
      <w:pPr>
        <w:pStyle w:val="Titre2"/>
        <w:spacing w:before="0"/>
        <w:rPr>
          <w:rFonts w:asciiTheme="minorHAnsi" w:hAnsiTheme="minorHAnsi" w:cs="ACaslonPro-Regular"/>
          <w:color w:val="auto"/>
          <w:sz w:val="22"/>
          <w:szCs w:val="22"/>
        </w:rPr>
      </w:pPr>
      <w:bookmarkStart w:id="101" w:name="_Toc425414606"/>
      <w:r w:rsidRPr="009463D2">
        <w:rPr>
          <w:rFonts w:asciiTheme="minorHAnsi" w:hAnsiTheme="minorHAnsi" w:cs="Calibri"/>
          <w:color w:val="auto"/>
          <w:sz w:val="22"/>
          <w:szCs w:val="22"/>
        </w:rPr>
        <w:t>V</w:t>
      </w:r>
      <w:r w:rsidR="00375BA9">
        <w:rPr>
          <w:rFonts w:asciiTheme="minorHAnsi" w:hAnsiTheme="minorHAnsi" w:cs="Calibri"/>
          <w:color w:val="auto"/>
          <w:sz w:val="22"/>
          <w:szCs w:val="22"/>
        </w:rPr>
        <w:t>I</w:t>
      </w:r>
      <w:r w:rsidRPr="009463D2">
        <w:rPr>
          <w:rFonts w:asciiTheme="minorHAnsi" w:hAnsiTheme="minorHAnsi" w:cs="Calibri"/>
          <w:color w:val="auto"/>
          <w:sz w:val="22"/>
          <w:szCs w:val="22"/>
        </w:rPr>
        <w:t>.</w:t>
      </w:r>
      <w:r w:rsidR="00AD1A5C" w:rsidRPr="009463D2">
        <w:rPr>
          <w:rFonts w:asciiTheme="minorHAnsi" w:hAnsiTheme="minorHAnsi" w:cs="ACaslonPro-Regular"/>
          <w:color w:val="auto"/>
          <w:sz w:val="22"/>
          <w:szCs w:val="22"/>
        </w:rPr>
        <w:t>Propositions relatives aux orientations futures favorisant les principaux objectifs</w:t>
      </w:r>
      <w:bookmarkEnd w:id="101"/>
    </w:p>
    <w:p w:rsidR="00C351EC" w:rsidRPr="00C351EC" w:rsidRDefault="00EA4248" w:rsidP="00C351EC">
      <w:pPr>
        <w:pStyle w:val="Titre2"/>
        <w:jc w:val="both"/>
        <w:rPr>
          <w:rFonts w:asciiTheme="minorHAnsi" w:hAnsiTheme="minorHAnsi" w:cs="Calibri"/>
          <w:b w:val="0"/>
          <w:color w:val="auto"/>
          <w:sz w:val="22"/>
          <w:szCs w:val="22"/>
        </w:rPr>
      </w:pPr>
      <w:bookmarkStart w:id="102" w:name="_Toc420441521"/>
      <w:bookmarkStart w:id="103" w:name="_Toc420486582"/>
      <w:bookmarkStart w:id="104" w:name="_Toc420508254"/>
      <w:bookmarkStart w:id="105" w:name="_Toc424738409"/>
      <w:bookmarkStart w:id="106" w:name="_Toc424739979"/>
      <w:bookmarkStart w:id="107" w:name="_Toc425414607"/>
      <w:r w:rsidRPr="00EA4248">
        <w:rPr>
          <w:rFonts w:asciiTheme="minorHAnsi" w:hAnsiTheme="minorHAnsi" w:cs="Calibri"/>
          <w:b w:val="0"/>
          <w:color w:val="auto"/>
          <w:sz w:val="22"/>
          <w:szCs w:val="22"/>
        </w:rPr>
        <w:t>L</w:t>
      </w:r>
      <w:r w:rsidR="001E299B">
        <w:rPr>
          <w:rFonts w:asciiTheme="minorHAnsi" w:hAnsiTheme="minorHAnsi" w:cs="Calibri"/>
          <w:b w:val="0"/>
          <w:color w:val="auto"/>
          <w:sz w:val="22"/>
          <w:szCs w:val="22"/>
        </w:rPr>
        <w:t>a démarche IEL développée dans le cadre du projet est innovante et complète dans le sens où elle s’appuie dans ses fondements sur l’EES et que dans sa pratique elle s’appuie sur l’approche participative. Les outils méthodologiques développés ont été à la base des sessions de renforcement des capacités des acteurs locaux</w:t>
      </w:r>
      <w:r w:rsidR="00C351EC">
        <w:rPr>
          <w:rFonts w:asciiTheme="minorHAnsi" w:hAnsiTheme="minorHAnsi" w:cs="Calibri"/>
          <w:b w:val="0"/>
          <w:color w:val="auto"/>
          <w:sz w:val="22"/>
          <w:szCs w:val="22"/>
        </w:rPr>
        <w:t xml:space="preserve"> des 35 communes pilotes</w:t>
      </w:r>
      <w:r w:rsidR="001E299B">
        <w:rPr>
          <w:rFonts w:asciiTheme="minorHAnsi" w:hAnsiTheme="minorHAnsi" w:cs="Calibri"/>
          <w:b w:val="0"/>
          <w:color w:val="auto"/>
          <w:sz w:val="22"/>
          <w:szCs w:val="22"/>
        </w:rPr>
        <w:t>. Ces derniers sont, à l’issue du projet CB2, outillés pour intégrer les questions de l’environnement mondial dans la planification stratégique locale.</w:t>
      </w:r>
      <w:bookmarkEnd w:id="102"/>
      <w:bookmarkEnd w:id="103"/>
      <w:bookmarkEnd w:id="104"/>
      <w:bookmarkEnd w:id="105"/>
      <w:bookmarkEnd w:id="106"/>
      <w:bookmarkEnd w:id="107"/>
    </w:p>
    <w:p w:rsidR="00EA4248" w:rsidRDefault="00C351EC" w:rsidP="00C351EC">
      <w:pPr>
        <w:pStyle w:val="Titre2"/>
        <w:jc w:val="both"/>
        <w:rPr>
          <w:rFonts w:asciiTheme="minorHAnsi" w:hAnsiTheme="minorHAnsi" w:cs="Calibri"/>
          <w:b w:val="0"/>
          <w:color w:val="auto"/>
          <w:sz w:val="22"/>
          <w:szCs w:val="22"/>
        </w:rPr>
      </w:pPr>
      <w:bookmarkStart w:id="108" w:name="_Toc420441522"/>
      <w:bookmarkStart w:id="109" w:name="_Toc420486583"/>
      <w:bookmarkStart w:id="110" w:name="_Toc420508255"/>
      <w:bookmarkStart w:id="111" w:name="_Toc424738410"/>
      <w:bookmarkStart w:id="112" w:name="_Toc424739980"/>
      <w:bookmarkStart w:id="113" w:name="_Toc425414608"/>
      <w:r>
        <w:rPr>
          <w:rFonts w:asciiTheme="minorHAnsi" w:hAnsiTheme="minorHAnsi" w:cs="Calibri"/>
          <w:b w:val="0"/>
          <w:color w:val="auto"/>
          <w:sz w:val="22"/>
          <w:szCs w:val="22"/>
        </w:rPr>
        <w:t>Le Ministère de l’Intérieur intégrera les outils méthodologiques dans son kit de formation destiné aux secrétaires généraux des communes ce qui contribuera à la durabilité du projet.</w:t>
      </w:r>
      <w:bookmarkEnd w:id="108"/>
      <w:bookmarkEnd w:id="109"/>
      <w:bookmarkEnd w:id="110"/>
      <w:bookmarkEnd w:id="111"/>
      <w:bookmarkEnd w:id="112"/>
      <w:bookmarkEnd w:id="113"/>
    </w:p>
    <w:p w:rsidR="00EA4248" w:rsidRDefault="00C351EC" w:rsidP="00C351EC">
      <w:pPr>
        <w:pStyle w:val="Titre2"/>
        <w:jc w:val="both"/>
        <w:rPr>
          <w:rFonts w:asciiTheme="minorHAnsi" w:hAnsiTheme="minorHAnsi" w:cs="Calibri"/>
          <w:b w:val="0"/>
          <w:color w:val="auto"/>
          <w:sz w:val="22"/>
          <w:szCs w:val="22"/>
        </w:rPr>
      </w:pPr>
      <w:bookmarkStart w:id="114" w:name="_Toc420441523"/>
      <w:bookmarkStart w:id="115" w:name="_Toc420486584"/>
      <w:bookmarkStart w:id="116" w:name="_Toc420508256"/>
      <w:bookmarkStart w:id="117" w:name="_Toc424738411"/>
      <w:bookmarkStart w:id="118" w:name="_Toc424739981"/>
      <w:bookmarkStart w:id="119" w:name="_Toc425414609"/>
      <w:r>
        <w:rPr>
          <w:rFonts w:asciiTheme="minorHAnsi" w:hAnsiTheme="minorHAnsi" w:cs="Calibri"/>
          <w:b w:val="0"/>
          <w:color w:val="auto"/>
          <w:sz w:val="22"/>
          <w:szCs w:val="22"/>
        </w:rPr>
        <w:t xml:space="preserve">La proposition relative aux orientations futures favorisant les principaux objectifs consiste à impliquer les GREET et les OREDD dans le suivi-évaluation </w:t>
      </w:r>
      <w:r w:rsidR="00697504">
        <w:rPr>
          <w:rFonts w:asciiTheme="minorHAnsi" w:hAnsiTheme="minorHAnsi" w:cs="Calibri"/>
          <w:b w:val="0"/>
          <w:color w:val="auto"/>
          <w:sz w:val="22"/>
          <w:szCs w:val="22"/>
        </w:rPr>
        <w:t>des indicateurs</w:t>
      </w:r>
      <w:r>
        <w:rPr>
          <w:rFonts w:asciiTheme="minorHAnsi" w:hAnsiTheme="minorHAnsi" w:cs="Calibri"/>
          <w:b w:val="0"/>
          <w:color w:val="auto"/>
          <w:sz w:val="22"/>
          <w:szCs w:val="22"/>
        </w:rPr>
        <w:t xml:space="preserve"> environnementaux des PCD verdis. Cette action devrait être encadrée par l’ONEM en étroite collaboration avec la DGCL/DEA/DPE</w:t>
      </w:r>
      <w:r w:rsidR="00846BE8">
        <w:rPr>
          <w:rFonts w:asciiTheme="minorHAnsi" w:hAnsiTheme="minorHAnsi" w:cs="Calibri"/>
          <w:b w:val="0"/>
          <w:color w:val="auto"/>
          <w:sz w:val="22"/>
          <w:szCs w:val="22"/>
        </w:rPr>
        <w:t>/DFCAT</w:t>
      </w:r>
      <w:r w:rsidR="007013EA">
        <w:rPr>
          <w:rFonts w:asciiTheme="minorHAnsi" w:hAnsiTheme="minorHAnsi" w:cs="Calibri"/>
          <w:b w:val="0"/>
          <w:color w:val="auto"/>
          <w:sz w:val="22"/>
          <w:szCs w:val="22"/>
        </w:rPr>
        <w:t>.</w:t>
      </w:r>
      <w:bookmarkEnd w:id="114"/>
      <w:bookmarkEnd w:id="115"/>
      <w:bookmarkEnd w:id="116"/>
      <w:bookmarkEnd w:id="117"/>
      <w:bookmarkEnd w:id="118"/>
      <w:bookmarkEnd w:id="119"/>
    </w:p>
    <w:p w:rsidR="009463D2" w:rsidRDefault="009463D2" w:rsidP="00AD1A5C">
      <w:pPr>
        <w:autoSpaceDE w:val="0"/>
        <w:autoSpaceDN w:val="0"/>
        <w:adjustRightInd w:val="0"/>
        <w:spacing w:after="0" w:line="240" w:lineRule="auto"/>
        <w:rPr>
          <w:rFonts w:cs="MyriadPro-Bold"/>
          <w:b/>
          <w:bCs/>
          <w:color w:val="000000"/>
        </w:rPr>
      </w:pPr>
    </w:p>
    <w:p w:rsidR="00D43324" w:rsidRDefault="00D43324" w:rsidP="00AD1A5C">
      <w:pPr>
        <w:autoSpaceDE w:val="0"/>
        <w:autoSpaceDN w:val="0"/>
        <w:adjustRightInd w:val="0"/>
        <w:spacing w:after="0" w:line="240" w:lineRule="auto"/>
        <w:rPr>
          <w:rFonts w:cs="MyriadPro-Bold"/>
          <w:b/>
          <w:bCs/>
          <w:color w:val="000000"/>
        </w:rPr>
        <w:sectPr w:rsidR="00D43324">
          <w:pgSz w:w="11906" w:h="16838"/>
          <w:pgMar w:top="1417" w:right="1417" w:bottom="1417" w:left="1417" w:header="708" w:footer="708" w:gutter="0"/>
          <w:cols w:space="708"/>
          <w:docGrid w:linePitch="360"/>
        </w:sectPr>
      </w:pPr>
    </w:p>
    <w:p w:rsidR="00AD1A5C" w:rsidRPr="00D43324" w:rsidRDefault="00D43324" w:rsidP="00D43324">
      <w:pPr>
        <w:pStyle w:val="Titre1"/>
        <w:spacing w:before="0"/>
        <w:rPr>
          <w:rFonts w:asciiTheme="minorHAnsi" w:hAnsiTheme="minorHAnsi" w:cs="MyriadPro-Bold"/>
          <w:bCs w:val="0"/>
          <w:color w:val="000000"/>
          <w:sz w:val="22"/>
          <w:szCs w:val="22"/>
        </w:rPr>
      </w:pPr>
      <w:bookmarkStart w:id="120" w:name="_Toc425414610"/>
      <w:r w:rsidRPr="00D43324">
        <w:rPr>
          <w:rFonts w:asciiTheme="minorHAnsi" w:hAnsiTheme="minorHAnsi" w:cs="MyriadPro-Bold"/>
          <w:bCs w:val="0"/>
          <w:color w:val="000000"/>
          <w:sz w:val="22"/>
          <w:szCs w:val="22"/>
        </w:rPr>
        <w:lastRenderedPageBreak/>
        <w:t>V</w:t>
      </w:r>
      <w:r w:rsidR="001678FA">
        <w:rPr>
          <w:rFonts w:asciiTheme="minorHAnsi" w:hAnsiTheme="minorHAnsi" w:cs="MyriadPro-Bold"/>
          <w:bCs w:val="0"/>
          <w:color w:val="000000"/>
          <w:sz w:val="22"/>
          <w:szCs w:val="22"/>
        </w:rPr>
        <w:t>II</w:t>
      </w:r>
      <w:r w:rsidR="00AD1A5C" w:rsidRPr="00D43324">
        <w:rPr>
          <w:rFonts w:asciiTheme="minorHAnsi" w:hAnsiTheme="minorHAnsi" w:cs="MyriadPro-Bold"/>
          <w:color w:val="000000"/>
          <w:sz w:val="22"/>
          <w:szCs w:val="22"/>
        </w:rPr>
        <w:t>. Annexes</w:t>
      </w:r>
      <w:bookmarkEnd w:id="120"/>
    </w:p>
    <w:p w:rsidR="00AD1A5C" w:rsidRPr="008D3C45" w:rsidRDefault="00D43324" w:rsidP="008D3C45">
      <w:pPr>
        <w:pStyle w:val="Titre2"/>
        <w:spacing w:before="0"/>
        <w:rPr>
          <w:rFonts w:asciiTheme="minorHAnsi" w:hAnsiTheme="minorHAnsi" w:cs="ACaslonPro-Regular"/>
          <w:color w:val="auto"/>
          <w:sz w:val="22"/>
          <w:szCs w:val="22"/>
        </w:rPr>
      </w:pPr>
      <w:bookmarkStart w:id="121" w:name="_Toc425414611"/>
      <w:r w:rsidRPr="008D3C45">
        <w:rPr>
          <w:rFonts w:asciiTheme="minorHAnsi" w:hAnsiTheme="minorHAnsi" w:cs="Wingdings-Regular"/>
          <w:color w:val="auto"/>
          <w:sz w:val="22"/>
          <w:szCs w:val="22"/>
        </w:rPr>
        <w:t xml:space="preserve">Annexe 1 </w:t>
      </w:r>
      <w:r w:rsidR="00AD1A5C" w:rsidRPr="008D3C45">
        <w:rPr>
          <w:rFonts w:asciiTheme="minorHAnsi" w:hAnsiTheme="minorHAnsi" w:cs="ACaslonPro-Regular"/>
          <w:color w:val="auto"/>
          <w:sz w:val="22"/>
          <w:szCs w:val="22"/>
        </w:rPr>
        <w:t>T</w:t>
      </w:r>
      <w:r w:rsidR="008D3C45" w:rsidRPr="008D3C45">
        <w:rPr>
          <w:rFonts w:asciiTheme="minorHAnsi" w:hAnsiTheme="minorHAnsi" w:cs="ACaslonPro-Regular"/>
          <w:color w:val="auto"/>
          <w:sz w:val="22"/>
          <w:szCs w:val="22"/>
        </w:rPr>
        <w:t xml:space="preserve">ermes de </w:t>
      </w:r>
      <w:r w:rsidR="00AD1A5C" w:rsidRPr="008D3C45">
        <w:rPr>
          <w:rFonts w:asciiTheme="minorHAnsi" w:hAnsiTheme="minorHAnsi" w:cs="ACaslonPro-Regular"/>
          <w:color w:val="auto"/>
          <w:sz w:val="22"/>
          <w:szCs w:val="22"/>
        </w:rPr>
        <w:t>R</w:t>
      </w:r>
      <w:r w:rsidR="008D3C45" w:rsidRPr="008D3C45">
        <w:rPr>
          <w:rFonts w:asciiTheme="minorHAnsi" w:hAnsiTheme="minorHAnsi" w:cs="ACaslonPro-Regular"/>
          <w:color w:val="auto"/>
          <w:sz w:val="22"/>
          <w:szCs w:val="22"/>
        </w:rPr>
        <w:t>éférences</w:t>
      </w:r>
      <w:bookmarkEnd w:id="121"/>
    </w:p>
    <w:p w:rsidR="00AD1A5C" w:rsidRPr="008D3C45" w:rsidRDefault="00D43324" w:rsidP="008D3C45">
      <w:pPr>
        <w:pStyle w:val="Titre2"/>
        <w:spacing w:before="0"/>
        <w:rPr>
          <w:rFonts w:asciiTheme="minorHAnsi" w:hAnsiTheme="minorHAnsi" w:cs="ACaslonPro-Regular"/>
          <w:color w:val="auto"/>
          <w:sz w:val="22"/>
          <w:szCs w:val="22"/>
        </w:rPr>
      </w:pPr>
      <w:bookmarkStart w:id="122" w:name="_Toc425414612"/>
      <w:r w:rsidRPr="008D3C45">
        <w:rPr>
          <w:rFonts w:asciiTheme="minorHAnsi" w:hAnsiTheme="minorHAnsi" w:cs="ACaslonPro-Regular"/>
          <w:color w:val="auto"/>
          <w:sz w:val="22"/>
          <w:szCs w:val="22"/>
        </w:rPr>
        <w:t xml:space="preserve">Annexe 2 </w:t>
      </w:r>
      <w:r w:rsidR="00AD1A5C" w:rsidRPr="008D3C45">
        <w:rPr>
          <w:rFonts w:asciiTheme="minorHAnsi" w:hAnsiTheme="minorHAnsi" w:cs="ACaslonPro-Regular"/>
          <w:color w:val="auto"/>
          <w:sz w:val="22"/>
          <w:szCs w:val="22"/>
        </w:rPr>
        <w:t>Liste des personnes interrogées</w:t>
      </w:r>
      <w:bookmarkEnd w:id="122"/>
    </w:p>
    <w:p w:rsidR="00AD1A5C" w:rsidRPr="008D3C45" w:rsidRDefault="00D43324" w:rsidP="008D3C45">
      <w:pPr>
        <w:pStyle w:val="Titre2"/>
        <w:spacing w:before="0"/>
        <w:rPr>
          <w:rFonts w:asciiTheme="minorHAnsi" w:hAnsiTheme="minorHAnsi" w:cs="ACaslonPro-Regular"/>
          <w:color w:val="auto"/>
          <w:sz w:val="22"/>
          <w:szCs w:val="22"/>
        </w:rPr>
      </w:pPr>
      <w:bookmarkStart w:id="123" w:name="_Toc425414613"/>
      <w:r w:rsidRPr="008D3C45">
        <w:rPr>
          <w:rFonts w:asciiTheme="minorHAnsi" w:hAnsiTheme="minorHAnsi" w:cs="Calibri"/>
          <w:color w:val="auto"/>
          <w:sz w:val="22"/>
          <w:szCs w:val="22"/>
        </w:rPr>
        <w:t>Annexe 3</w:t>
      </w:r>
      <w:r w:rsidR="00AD1A5C" w:rsidRPr="008D3C45">
        <w:rPr>
          <w:rFonts w:asciiTheme="minorHAnsi" w:hAnsiTheme="minorHAnsi" w:cs="ACaslonPro-Regular"/>
          <w:color w:val="auto"/>
          <w:sz w:val="22"/>
          <w:szCs w:val="22"/>
        </w:rPr>
        <w:t>Liste des documents examinés</w:t>
      </w:r>
      <w:bookmarkEnd w:id="123"/>
    </w:p>
    <w:p w:rsidR="00AD1A5C" w:rsidRPr="008D3C45" w:rsidRDefault="00D43324" w:rsidP="008D3C45">
      <w:pPr>
        <w:pStyle w:val="Titre2"/>
        <w:spacing w:before="0"/>
        <w:rPr>
          <w:rFonts w:asciiTheme="minorHAnsi" w:hAnsiTheme="minorHAnsi" w:cs="ACaslonPro-Regular"/>
          <w:color w:val="auto"/>
          <w:sz w:val="22"/>
          <w:szCs w:val="22"/>
        </w:rPr>
      </w:pPr>
      <w:bookmarkStart w:id="124" w:name="_Toc425414614"/>
      <w:r w:rsidRPr="008D3C45">
        <w:rPr>
          <w:rFonts w:asciiTheme="minorHAnsi" w:hAnsiTheme="minorHAnsi" w:cs="ACaslonPro-Regular"/>
          <w:color w:val="auto"/>
          <w:sz w:val="22"/>
          <w:szCs w:val="22"/>
        </w:rPr>
        <w:t xml:space="preserve">Annexe 4 </w:t>
      </w:r>
      <w:r w:rsidR="00AD1A5C" w:rsidRPr="008D3C45">
        <w:rPr>
          <w:rFonts w:asciiTheme="minorHAnsi" w:hAnsiTheme="minorHAnsi" w:cs="ACaslonPro-Regular"/>
          <w:color w:val="auto"/>
          <w:sz w:val="22"/>
          <w:szCs w:val="22"/>
        </w:rPr>
        <w:t>Tableau des questions d’évaluation</w:t>
      </w:r>
      <w:bookmarkEnd w:id="124"/>
    </w:p>
    <w:p w:rsidR="008D3C45" w:rsidRDefault="00D43324" w:rsidP="008D3C45">
      <w:pPr>
        <w:pStyle w:val="Titre2"/>
        <w:spacing w:before="0"/>
        <w:rPr>
          <w:rFonts w:asciiTheme="minorHAnsi" w:hAnsiTheme="minorHAnsi" w:cs="ACaslonPro-Regular"/>
          <w:color w:val="auto"/>
          <w:sz w:val="22"/>
          <w:szCs w:val="22"/>
        </w:rPr>
      </w:pPr>
      <w:bookmarkStart w:id="125" w:name="_Toc425414615"/>
      <w:r w:rsidRPr="008D3C45">
        <w:rPr>
          <w:rFonts w:asciiTheme="minorHAnsi" w:hAnsiTheme="minorHAnsi" w:cs="ACaslonPro-Regular"/>
          <w:color w:val="auto"/>
          <w:sz w:val="22"/>
          <w:szCs w:val="22"/>
        </w:rPr>
        <w:t xml:space="preserve">Annexe 5 </w:t>
      </w:r>
      <w:r w:rsidR="00AD1A5C" w:rsidRPr="008D3C45">
        <w:rPr>
          <w:rFonts w:asciiTheme="minorHAnsi" w:hAnsiTheme="minorHAnsi" w:cs="ACaslonPro-Regular"/>
          <w:color w:val="auto"/>
          <w:sz w:val="22"/>
          <w:szCs w:val="22"/>
        </w:rPr>
        <w:t>Questionnaire</w:t>
      </w:r>
      <w:r w:rsidR="008D3C45">
        <w:rPr>
          <w:rFonts w:asciiTheme="minorHAnsi" w:hAnsiTheme="minorHAnsi" w:cs="ACaslonPro-Regular"/>
          <w:color w:val="auto"/>
          <w:sz w:val="22"/>
          <w:szCs w:val="22"/>
        </w:rPr>
        <w:t xml:space="preserve"> utilisé</w:t>
      </w:r>
      <w:bookmarkEnd w:id="125"/>
    </w:p>
    <w:p w:rsidR="00AD1A5C" w:rsidRDefault="008D3C45" w:rsidP="008D3C45">
      <w:pPr>
        <w:pStyle w:val="Titre2"/>
        <w:spacing w:before="0"/>
        <w:rPr>
          <w:rFonts w:asciiTheme="minorHAnsi" w:hAnsiTheme="minorHAnsi" w:cs="ACaslonPro-Regular"/>
          <w:color w:val="auto"/>
          <w:sz w:val="22"/>
          <w:szCs w:val="22"/>
        </w:rPr>
      </w:pPr>
      <w:bookmarkStart w:id="126" w:name="_Toc425414616"/>
      <w:r>
        <w:rPr>
          <w:rFonts w:asciiTheme="minorHAnsi" w:hAnsiTheme="minorHAnsi" w:cs="ACaslonPro-Regular"/>
          <w:color w:val="auto"/>
          <w:sz w:val="22"/>
          <w:szCs w:val="22"/>
        </w:rPr>
        <w:t>Annexe 6 Résumé des entretiens</w:t>
      </w:r>
      <w:bookmarkEnd w:id="126"/>
    </w:p>
    <w:p w:rsidR="003409A1" w:rsidRPr="003D0733" w:rsidRDefault="003409A1" w:rsidP="003D0733">
      <w:pPr>
        <w:pStyle w:val="Titre2"/>
        <w:spacing w:before="0"/>
        <w:rPr>
          <w:rFonts w:asciiTheme="minorHAnsi" w:hAnsiTheme="minorHAnsi" w:cs="ACaslonPro-Regular"/>
          <w:color w:val="auto"/>
          <w:sz w:val="22"/>
          <w:szCs w:val="22"/>
        </w:rPr>
      </w:pPr>
      <w:bookmarkStart w:id="127" w:name="_Toc425414617"/>
      <w:r w:rsidRPr="003D0733">
        <w:rPr>
          <w:rFonts w:asciiTheme="minorHAnsi" w:hAnsiTheme="minorHAnsi" w:cs="ACaslonPro-Regular"/>
          <w:color w:val="auto"/>
          <w:sz w:val="22"/>
          <w:szCs w:val="22"/>
        </w:rPr>
        <w:t>Annexe 7 Formulaire d’acceptation du code de conduite du consultant en évaluation</w:t>
      </w:r>
      <w:bookmarkEnd w:id="127"/>
    </w:p>
    <w:p w:rsidR="001A508C" w:rsidRDefault="001A508C" w:rsidP="003D0733">
      <w:pPr>
        <w:pStyle w:val="Titre2"/>
        <w:spacing w:before="0"/>
        <w:rPr>
          <w:rFonts w:asciiTheme="minorHAnsi" w:hAnsiTheme="minorHAnsi" w:cs="ACaslonPro-Regular"/>
          <w:color w:val="auto"/>
          <w:sz w:val="22"/>
          <w:szCs w:val="22"/>
        </w:rPr>
      </w:pPr>
      <w:bookmarkStart w:id="128" w:name="_Toc425414618"/>
      <w:r w:rsidRPr="003D0733">
        <w:rPr>
          <w:rFonts w:asciiTheme="minorHAnsi" w:hAnsiTheme="minorHAnsi" w:cs="ACaslonPro-Regular"/>
          <w:color w:val="auto"/>
          <w:sz w:val="22"/>
          <w:szCs w:val="22"/>
        </w:rPr>
        <w:t>Annexe 8 Liste des commentaires sur le rapport de l’évaluation finale</w:t>
      </w:r>
      <w:bookmarkEnd w:id="128"/>
    </w:p>
    <w:p w:rsidR="00FD01E1" w:rsidRPr="00FD01E1" w:rsidRDefault="00FD01E1" w:rsidP="00FD01E1">
      <w:pPr>
        <w:pStyle w:val="Titre2"/>
        <w:spacing w:before="0"/>
        <w:rPr>
          <w:rFonts w:asciiTheme="minorHAnsi" w:hAnsiTheme="minorHAnsi" w:cs="ACaslonPro-Regular"/>
          <w:color w:val="auto"/>
          <w:sz w:val="22"/>
          <w:szCs w:val="22"/>
        </w:rPr>
      </w:pPr>
      <w:bookmarkStart w:id="129" w:name="_Toc425414619"/>
      <w:r w:rsidRPr="00FD01E1">
        <w:rPr>
          <w:rFonts w:asciiTheme="minorHAnsi" w:hAnsiTheme="minorHAnsi" w:cs="ACaslonPro-Regular"/>
          <w:color w:val="auto"/>
          <w:sz w:val="22"/>
          <w:szCs w:val="22"/>
        </w:rPr>
        <w:t>Annexe 9 Itinéraire de la mission d’évaluation finale</w:t>
      </w:r>
      <w:bookmarkEnd w:id="129"/>
    </w:p>
    <w:sectPr w:rsidR="00FD01E1" w:rsidRPr="00FD01E1" w:rsidSect="006D55E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1A3" w:rsidRDefault="000761A3" w:rsidP="002D24AB">
      <w:pPr>
        <w:spacing w:after="0" w:line="240" w:lineRule="auto"/>
      </w:pPr>
      <w:r>
        <w:separator/>
      </w:r>
    </w:p>
  </w:endnote>
  <w:endnote w:type="continuationSeparator" w:id="1">
    <w:p w:rsidR="000761A3" w:rsidRDefault="000761A3" w:rsidP="002D24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CaslonPro-Regular">
    <w:panose1 w:val="00000000000000000000"/>
    <w:charset w:val="00"/>
    <w:family w:val="roman"/>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Regular">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FEE" w:rsidRDefault="00AF3FEE">
    <w:pPr>
      <w:pStyle w:val="Pieddepage"/>
      <w:jc w:val="right"/>
    </w:pPr>
  </w:p>
  <w:p w:rsidR="00AF3FEE" w:rsidRDefault="00AF3FE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3229378"/>
      <w:docPartObj>
        <w:docPartGallery w:val="Page Numbers (Bottom of Page)"/>
        <w:docPartUnique/>
      </w:docPartObj>
    </w:sdtPr>
    <w:sdtContent>
      <w:p w:rsidR="00AF3FEE" w:rsidRDefault="006D55EB" w:rsidP="00511D1F">
        <w:pPr>
          <w:pStyle w:val="Pieddepage"/>
          <w:pBdr>
            <w:top w:val="single" w:sz="12" w:space="1" w:color="9BBB59" w:themeColor="accent3"/>
          </w:pBdr>
          <w:jc w:val="right"/>
        </w:pPr>
        <w:r>
          <w:fldChar w:fldCharType="begin"/>
        </w:r>
        <w:r w:rsidR="00AF3FEE">
          <w:instrText>PAGE   \* MERGEFORMAT</w:instrText>
        </w:r>
        <w:r>
          <w:fldChar w:fldCharType="separate"/>
        </w:r>
        <w:r w:rsidR="00F47CB9">
          <w:rPr>
            <w:noProof/>
          </w:rPr>
          <w:t>5</w:t>
        </w:r>
        <w:r>
          <w:fldChar w:fldCharType="end"/>
        </w:r>
      </w:p>
    </w:sdtContent>
  </w:sdt>
  <w:p w:rsidR="00AF3FEE" w:rsidRDefault="00AF3FEE">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7465958"/>
      <w:docPartObj>
        <w:docPartGallery w:val="Page Numbers (Bottom of Page)"/>
        <w:docPartUnique/>
      </w:docPartObj>
    </w:sdtPr>
    <w:sdtContent>
      <w:p w:rsidR="00AF3FEE" w:rsidRDefault="006D55EB" w:rsidP="00511D1F">
        <w:pPr>
          <w:pStyle w:val="Pieddepage"/>
          <w:pBdr>
            <w:top w:val="single" w:sz="12" w:space="1" w:color="9BBB59" w:themeColor="accent3"/>
          </w:pBdr>
          <w:jc w:val="right"/>
        </w:pPr>
        <w:r>
          <w:fldChar w:fldCharType="begin"/>
        </w:r>
        <w:r w:rsidR="00AF3FEE">
          <w:instrText>PAGE   \* MERGEFORMAT</w:instrText>
        </w:r>
        <w:r>
          <w:fldChar w:fldCharType="separate"/>
        </w:r>
        <w:r w:rsidR="00F47CB9">
          <w:rPr>
            <w:noProof/>
          </w:rPr>
          <w:t>ii</w:t>
        </w:r>
        <w:r>
          <w:fldChar w:fldCharType="end"/>
        </w:r>
      </w:p>
    </w:sdtContent>
  </w:sdt>
  <w:p w:rsidR="00AF3FEE" w:rsidRDefault="00AF3FEE" w:rsidP="00511D1F">
    <w:pPr>
      <w:pStyle w:val="Pieddepage"/>
      <w:tabs>
        <w:tab w:val="clear" w:pos="4536"/>
        <w:tab w:val="clear" w:pos="9072"/>
        <w:tab w:val="left" w:pos="8073"/>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1A3" w:rsidRDefault="000761A3" w:rsidP="002D24AB">
      <w:pPr>
        <w:spacing w:after="0" w:line="240" w:lineRule="auto"/>
      </w:pPr>
      <w:r>
        <w:separator/>
      </w:r>
    </w:p>
  </w:footnote>
  <w:footnote w:type="continuationSeparator" w:id="1">
    <w:p w:rsidR="000761A3" w:rsidRDefault="000761A3" w:rsidP="002D24AB">
      <w:pPr>
        <w:spacing w:after="0" w:line="240" w:lineRule="auto"/>
      </w:pPr>
      <w:r>
        <w:continuationSeparator/>
      </w:r>
    </w:p>
  </w:footnote>
  <w:footnote w:id="2">
    <w:p w:rsidR="00AF3FEE" w:rsidRPr="00DE1A54" w:rsidRDefault="00AF3FEE" w:rsidP="00DE1A54">
      <w:pPr>
        <w:pStyle w:val="Notedebasdepage"/>
        <w:rPr>
          <w:lang w:val="fr-CA"/>
        </w:rPr>
      </w:pPr>
      <w:r>
        <w:rPr>
          <w:rStyle w:val="Appelnotedebasdep"/>
        </w:rPr>
        <w:footnoteRef/>
      </w:r>
      <w:r>
        <w:rPr>
          <w:sz w:val="18"/>
          <w:szCs w:val="18"/>
        </w:rPr>
        <w:t xml:space="preserve">Pertinence : </w:t>
      </w:r>
      <w:r w:rsidRPr="00DE1A54">
        <w:rPr>
          <w:sz w:val="18"/>
          <w:szCs w:val="18"/>
        </w:rPr>
        <w:t>Mesure selon laquelle les objectifs de l’action de développement correspondent auxattentes des bénéficiaires, aux besoins du pays, aux priorités globales, aux politiques despartenaires et des bailleurs de fonds.</w:t>
      </w:r>
    </w:p>
  </w:footnote>
  <w:footnote w:id="3">
    <w:p w:rsidR="00AF3FEE" w:rsidRPr="00DE1A54" w:rsidRDefault="00AF3FEE" w:rsidP="00DE1A54">
      <w:pPr>
        <w:pStyle w:val="Notedebasdepage"/>
        <w:rPr>
          <w:sz w:val="18"/>
          <w:szCs w:val="18"/>
        </w:rPr>
      </w:pPr>
      <w:r>
        <w:rPr>
          <w:rStyle w:val="Appelnotedebasdep"/>
        </w:rPr>
        <w:footnoteRef/>
      </w:r>
      <w:r w:rsidRPr="00DE1A54">
        <w:rPr>
          <w:sz w:val="18"/>
          <w:szCs w:val="18"/>
        </w:rPr>
        <w:t>Efficacité</w:t>
      </w:r>
      <w:r>
        <w:rPr>
          <w:sz w:val="18"/>
          <w:szCs w:val="18"/>
        </w:rPr>
        <w:t xml:space="preserve"> : </w:t>
      </w:r>
      <w:r w:rsidRPr="00DE1A54">
        <w:rPr>
          <w:sz w:val="18"/>
          <w:szCs w:val="18"/>
        </w:rPr>
        <w:t xml:space="preserve">Mesure selon laquelle les objectifs de l’action de développement ont été atteints, ou sonten train de l’être, compte tenu de leur importance relative. </w:t>
      </w:r>
    </w:p>
  </w:footnote>
  <w:footnote w:id="4">
    <w:p w:rsidR="00AF3FEE" w:rsidRPr="00DE1A54" w:rsidRDefault="00AF3FEE" w:rsidP="00DE1A54">
      <w:pPr>
        <w:pStyle w:val="Notedebasdepage"/>
        <w:rPr>
          <w:lang w:val="fr-CA"/>
        </w:rPr>
      </w:pPr>
      <w:r>
        <w:rPr>
          <w:rStyle w:val="Appelnotedebasdep"/>
        </w:rPr>
        <w:footnoteRef/>
      </w:r>
      <w:r w:rsidRPr="00DE1A54">
        <w:rPr>
          <w:sz w:val="18"/>
          <w:szCs w:val="18"/>
        </w:rPr>
        <w:t>Efficience Mesure selon laquelle les ressources (fonds, expertise, temps, etc.) sont converties enrésultats de façon économe.</w:t>
      </w:r>
    </w:p>
  </w:footnote>
  <w:footnote w:id="5">
    <w:p w:rsidR="00AF3FEE" w:rsidRPr="00DE1A54" w:rsidRDefault="00AF3FEE" w:rsidP="00DE1A54">
      <w:pPr>
        <w:pStyle w:val="Notedebasdepage"/>
        <w:rPr>
          <w:lang w:val="fr-CA"/>
        </w:rPr>
      </w:pPr>
      <w:r>
        <w:rPr>
          <w:rStyle w:val="Appelnotedebasdep"/>
        </w:rPr>
        <w:footnoteRef/>
      </w:r>
      <w:r w:rsidRPr="00DE1A54">
        <w:rPr>
          <w:sz w:val="18"/>
          <w:szCs w:val="18"/>
        </w:rPr>
        <w:t>Durabilité</w:t>
      </w:r>
      <w:r>
        <w:rPr>
          <w:sz w:val="18"/>
          <w:szCs w:val="18"/>
        </w:rPr>
        <w:t xml:space="preserve"> : </w:t>
      </w:r>
      <w:r w:rsidRPr="00DE1A54">
        <w:rPr>
          <w:sz w:val="18"/>
          <w:szCs w:val="18"/>
        </w:rPr>
        <w:t>Évalue la mesure dans laquelle les avantages d’un projet ou d’un programme particulier sontsusceptibles de perdurer à l’intérieur ou en dehors du domaine du projet, après la fin de l’aide/aide extérieure du FEM. Les projets doivent être respectueux de l’environnement, ainsi quefinancièrement et socialement durables.</w:t>
      </w:r>
    </w:p>
  </w:footnote>
  <w:footnote w:id="6">
    <w:p w:rsidR="00AF3FEE" w:rsidRPr="00DE1A54" w:rsidRDefault="00AF3FEE" w:rsidP="00DE1A54">
      <w:pPr>
        <w:pStyle w:val="Notedebasdepage"/>
        <w:rPr>
          <w:lang w:val="fr-CA"/>
        </w:rPr>
      </w:pPr>
      <w:r>
        <w:rPr>
          <w:rStyle w:val="Appelnotedebasdep"/>
        </w:rPr>
        <w:footnoteRef/>
      </w:r>
      <w:r w:rsidRPr="00DE1A54">
        <w:rPr>
          <w:sz w:val="18"/>
          <w:szCs w:val="18"/>
          <w:lang w:val="fr-CA"/>
        </w:rPr>
        <w:t>Impacts : Les changements réels ou prévus, positifs ou négatifs, au niveau des avantages environnementaux mondiaux, tels que vérifiés par le stress environnemental, ou le changement d’état, et en prenant également en compte les impacts de développement durable, y compris les moyens d’existence modifiés.</w:t>
      </w:r>
    </w:p>
  </w:footnote>
  <w:footnote w:id="7">
    <w:p w:rsidR="00AF3FEE" w:rsidRDefault="00AF3FEE">
      <w:pPr>
        <w:pStyle w:val="Notedebasdepage"/>
      </w:pPr>
      <w:r>
        <w:rPr>
          <w:rStyle w:val="Appelnotedebasdep"/>
        </w:rPr>
        <w:footnoteRef/>
      </w:r>
      <w:r w:rsidRPr="002D24AB">
        <w:t>Améliorations à long terme, en tant que bénéfices sociaux, économiques ou autres, répondant à des besoins du pays. Le projet ne fait que contribuer à ces améliorations</w:t>
      </w:r>
    </w:p>
  </w:footnote>
  <w:footnote w:id="8">
    <w:p w:rsidR="00AF3FEE" w:rsidRDefault="00AF3FEE">
      <w:pPr>
        <w:pStyle w:val="Notedebasdepage"/>
      </w:pPr>
      <w:r>
        <w:rPr>
          <w:rStyle w:val="Appelnotedebasdep"/>
        </w:rPr>
        <w:footnoteRef/>
      </w:r>
      <w:r w:rsidRPr="002D24AB">
        <w:t>Effets directs, qualitatifs et quantitatifs, atteints à court et à moyen termes dans le cadre du projet et résultants des outputs.</w:t>
      </w:r>
    </w:p>
  </w:footnote>
  <w:footnote w:id="9">
    <w:p w:rsidR="00AF3FEE" w:rsidRDefault="00AF3FEE">
      <w:pPr>
        <w:pStyle w:val="Notedebasdepage"/>
      </w:pPr>
      <w:r>
        <w:rPr>
          <w:rStyle w:val="Appelnotedebasdep"/>
        </w:rPr>
        <w:footnoteRef/>
      </w:r>
      <w:r w:rsidRPr="002D24AB">
        <w:t>Produits et services quantifiables fournis ou compétences et capacités développées résultants à court terme directement des activités du projet.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bottomFromText="200" w:vertAnchor="page" w:horzAnchor="margin" w:tblpXSpec="center" w:tblpY="946"/>
      <w:tblW w:w="10569" w:type="dxa"/>
      <w:tblBorders>
        <w:bottom w:val="single" w:sz="24" w:space="0" w:color="00B050"/>
      </w:tblBorders>
      <w:tblLook w:val="04A0"/>
    </w:tblPr>
    <w:tblGrid>
      <w:gridCol w:w="3045"/>
      <w:gridCol w:w="2586"/>
      <w:gridCol w:w="2982"/>
      <w:gridCol w:w="1956"/>
    </w:tblGrid>
    <w:tr w:rsidR="00AF3FEE" w:rsidRPr="00FA631C" w:rsidTr="00FA631C">
      <w:trPr>
        <w:trHeight w:val="1835"/>
      </w:trPr>
      <w:tc>
        <w:tcPr>
          <w:tcW w:w="3045" w:type="dxa"/>
        </w:tcPr>
        <w:p w:rsidR="00AF3FEE" w:rsidRPr="00FA631C" w:rsidRDefault="00AF3FEE" w:rsidP="00FA631C">
          <w:pPr>
            <w:spacing w:after="0" w:line="240" w:lineRule="auto"/>
            <w:jc w:val="center"/>
            <w:rPr>
              <w:rFonts w:ascii="Calibri" w:eastAsia="Calibri" w:hAnsi="Calibri" w:cs="Times New Roman"/>
              <w:b/>
              <w:bCs/>
              <w:sz w:val="12"/>
              <w:szCs w:val="12"/>
            </w:rPr>
          </w:pPr>
          <w:r w:rsidRPr="00FA631C">
            <w:rPr>
              <w:rFonts w:ascii="Calibri" w:eastAsia="Calibri" w:hAnsi="Calibri" w:cs="Times New Roman"/>
              <w:b/>
              <w:bCs/>
              <w:sz w:val="12"/>
              <w:szCs w:val="12"/>
              <w:rtl/>
              <w:lang w:val="en-US"/>
            </w:rPr>
            <w:t>المملكة المغربية</w:t>
          </w:r>
        </w:p>
        <w:p w:rsidR="00AF3FEE" w:rsidRPr="00FA631C" w:rsidRDefault="00AF3FEE" w:rsidP="00FA631C">
          <w:pPr>
            <w:tabs>
              <w:tab w:val="center" w:pos="4320"/>
            </w:tabs>
            <w:spacing w:after="0" w:line="240" w:lineRule="auto"/>
            <w:jc w:val="center"/>
            <w:rPr>
              <w:rFonts w:ascii="Calibri" w:eastAsia="Calibri" w:hAnsi="Calibri" w:cs="Times New Roman"/>
              <w:b/>
              <w:bCs/>
              <w:sz w:val="12"/>
              <w:szCs w:val="14"/>
            </w:rPr>
          </w:pPr>
          <w:r w:rsidRPr="00FA631C">
            <w:rPr>
              <w:rFonts w:ascii="Calibri" w:eastAsia="Calibri" w:hAnsi="Calibri" w:cs="Times New Roman"/>
              <w:b/>
              <w:bCs/>
              <w:sz w:val="12"/>
              <w:szCs w:val="14"/>
            </w:rPr>
            <w:t>Royaume du Maroc</w:t>
          </w:r>
        </w:p>
        <w:p w:rsidR="00AF3FEE" w:rsidRPr="00FA631C" w:rsidRDefault="00AF3FEE" w:rsidP="00FA631C">
          <w:pPr>
            <w:spacing w:after="0" w:line="240" w:lineRule="auto"/>
            <w:jc w:val="center"/>
            <w:rPr>
              <w:rFonts w:ascii="Calibri" w:eastAsia="Calibri" w:hAnsi="Calibri" w:cs="Times New Roman"/>
              <w:b/>
              <w:bCs/>
              <w:sz w:val="18"/>
              <w:szCs w:val="18"/>
            </w:rPr>
          </w:pPr>
        </w:p>
        <w:p w:rsidR="00AF3FEE" w:rsidRPr="00FA631C" w:rsidRDefault="00AF3FEE" w:rsidP="00FA631C">
          <w:pPr>
            <w:spacing w:after="0" w:line="240" w:lineRule="auto"/>
            <w:jc w:val="center"/>
            <w:rPr>
              <w:rFonts w:ascii="Calibri" w:eastAsia="Calibri" w:hAnsi="Calibri" w:cs="Times New Roman"/>
              <w:b/>
              <w:bCs/>
              <w:sz w:val="18"/>
              <w:szCs w:val="18"/>
            </w:rPr>
          </w:pPr>
        </w:p>
        <w:p w:rsidR="00AF3FEE" w:rsidRPr="00FA631C" w:rsidRDefault="00AF3FEE" w:rsidP="00FA631C">
          <w:pPr>
            <w:spacing w:after="0" w:line="240" w:lineRule="auto"/>
            <w:jc w:val="center"/>
            <w:rPr>
              <w:rFonts w:ascii="Calibri" w:eastAsia="Calibri" w:hAnsi="Calibri" w:cs="Times New Roman"/>
              <w:b/>
              <w:bCs/>
              <w:sz w:val="18"/>
              <w:szCs w:val="18"/>
            </w:rPr>
          </w:pPr>
        </w:p>
        <w:p w:rsidR="00AF3FEE" w:rsidRPr="00FA631C" w:rsidRDefault="00AF3FEE" w:rsidP="00FA631C">
          <w:pPr>
            <w:spacing w:after="0" w:line="240" w:lineRule="auto"/>
            <w:jc w:val="center"/>
            <w:rPr>
              <w:rFonts w:ascii="Calibri" w:eastAsia="Calibri" w:hAnsi="Calibri" w:cs="Times New Roman"/>
              <w:b/>
              <w:bCs/>
              <w:sz w:val="18"/>
              <w:szCs w:val="18"/>
            </w:rPr>
          </w:pPr>
        </w:p>
        <w:p w:rsidR="00AF3FEE" w:rsidRPr="00FA631C" w:rsidRDefault="00AF3FEE" w:rsidP="00FA631C">
          <w:pPr>
            <w:spacing w:after="0" w:line="240" w:lineRule="auto"/>
            <w:jc w:val="center"/>
            <w:rPr>
              <w:rFonts w:ascii="Calibri" w:eastAsia="Calibri" w:hAnsi="Calibri" w:cs="Times New Roman"/>
              <w:b/>
              <w:bCs/>
              <w:sz w:val="18"/>
              <w:szCs w:val="18"/>
            </w:rPr>
          </w:pPr>
        </w:p>
        <w:p w:rsidR="00AF3FEE" w:rsidRPr="00FA631C" w:rsidRDefault="00AF3FEE" w:rsidP="00FA631C">
          <w:pPr>
            <w:spacing w:after="0" w:line="240" w:lineRule="auto"/>
            <w:jc w:val="center"/>
            <w:rPr>
              <w:rFonts w:ascii="Calibri" w:eastAsia="Calibri" w:hAnsi="Calibri" w:cs="Times New Roman"/>
              <w:sz w:val="12"/>
              <w:szCs w:val="12"/>
            </w:rPr>
          </w:pPr>
          <w:r w:rsidRPr="00FA631C">
            <w:rPr>
              <w:rFonts w:ascii="Calibri" w:eastAsia="Calibri" w:hAnsi="Calibri" w:cs="Arial"/>
              <w:noProof/>
              <w:lang w:eastAsia="fr-FR"/>
            </w:rPr>
            <w:drawing>
              <wp:anchor distT="0" distB="0" distL="114300" distR="114300" simplePos="0" relativeHeight="251659264" behindDoc="0" locked="0" layoutInCell="1" allowOverlap="1">
                <wp:simplePos x="0" y="0"/>
                <wp:positionH relativeFrom="column">
                  <wp:posOffset>702310</wp:posOffset>
                </wp:positionH>
                <wp:positionV relativeFrom="paragraph">
                  <wp:posOffset>-583565</wp:posOffset>
                </wp:positionV>
                <wp:extent cx="504825" cy="476250"/>
                <wp:effectExtent l="0" t="0" r="9525" b="0"/>
                <wp:wrapSquare wrapText="right"/>
                <wp:docPr id="1" name="Picture 4" descr="Description: Description: Description: Laur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Laurier.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476250"/>
                        </a:xfrm>
                        <a:prstGeom prst="rect">
                          <a:avLst/>
                        </a:prstGeom>
                        <a:noFill/>
                      </pic:spPr>
                    </pic:pic>
                  </a:graphicData>
                </a:graphic>
              </wp:anchor>
            </w:drawing>
          </w:r>
          <w:r w:rsidRPr="00FA631C">
            <w:rPr>
              <w:rFonts w:ascii="Calibri" w:eastAsia="Calibri" w:hAnsi="Calibri" w:cs="Times New Roman"/>
              <w:sz w:val="12"/>
              <w:szCs w:val="12"/>
            </w:rPr>
            <w:t>Ministère de l’Energie, des Mines,</w:t>
          </w:r>
        </w:p>
        <w:p w:rsidR="00AF3FEE" w:rsidRPr="00FA631C" w:rsidRDefault="00AF3FEE" w:rsidP="00FA631C">
          <w:pPr>
            <w:spacing w:after="0" w:line="240" w:lineRule="auto"/>
            <w:ind w:left="-142"/>
            <w:jc w:val="center"/>
            <w:rPr>
              <w:rFonts w:ascii="Calibri" w:eastAsia="Calibri" w:hAnsi="Calibri" w:cs="Times New Roman"/>
              <w:sz w:val="12"/>
              <w:szCs w:val="12"/>
            </w:rPr>
          </w:pPr>
          <w:r w:rsidRPr="00FA631C">
            <w:rPr>
              <w:rFonts w:ascii="Calibri" w:eastAsia="Calibri" w:hAnsi="Calibri" w:cs="Times New Roman"/>
              <w:sz w:val="12"/>
              <w:szCs w:val="12"/>
            </w:rPr>
            <w:t>de l'Eau et de l’Environnement</w:t>
          </w:r>
        </w:p>
        <w:p w:rsidR="00AF3FEE" w:rsidRPr="00FA631C" w:rsidRDefault="00AF3FEE" w:rsidP="00FA631C">
          <w:pPr>
            <w:spacing w:after="0" w:line="240" w:lineRule="auto"/>
            <w:ind w:left="-142"/>
            <w:jc w:val="center"/>
            <w:rPr>
              <w:rFonts w:ascii="Calibri" w:eastAsia="Calibri" w:hAnsi="Calibri" w:cs="Times New Roman"/>
              <w:sz w:val="12"/>
              <w:szCs w:val="12"/>
            </w:rPr>
          </w:pPr>
          <w:r w:rsidRPr="00FA631C">
            <w:rPr>
              <w:rFonts w:ascii="Calibri" w:eastAsia="Calibri" w:hAnsi="Calibri" w:cs="Times New Roman"/>
              <w:sz w:val="12"/>
              <w:szCs w:val="12"/>
            </w:rPr>
            <w:t xml:space="preserve">  Département de l’Environnement</w:t>
          </w:r>
        </w:p>
        <w:p w:rsidR="00AF3FEE" w:rsidRPr="00FA631C" w:rsidRDefault="00AF3FEE" w:rsidP="00FA631C">
          <w:pPr>
            <w:spacing w:after="0" w:line="240" w:lineRule="auto"/>
            <w:jc w:val="center"/>
            <w:rPr>
              <w:rFonts w:ascii="Calibri" w:eastAsia="Calibri" w:hAnsi="Calibri" w:cs="Times New Roman"/>
              <w:b/>
              <w:u w:val="single"/>
            </w:rPr>
          </w:pPr>
        </w:p>
      </w:tc>
      <w:tc>
        <w:tcPr>
          <w:tcW w:w="2586" w:type="dxa"/>
        </w:tcPr>
        <w:p w:rsidR="00AF3FEE" w:rsidRPr="00FA631C" w:rsidRDefault="00AF3FEE" w:rsidP="00FA631C">
          <w:pPr>
            <w:spacing w:after="0" w:line="240" w:lineRule="auto"/>
            <w:jc w:val="center"/>
            <w:rPr>
              <w:rFonts w:ascii="Calibri" w:eastAsia="Calibri" w:hAnsi="Calibri" w:cs="Times New Roman"/>
              <w:b/>
              <w:bCs/>
              <w:sz w:val="12"/>
              <w:szCs w:val="12"/>
            </w:rPr>
          </w:pPr>
          <w:r w:rsidRPr="00FA631C">
            <w:rPr>
              <w:rFonts w:ascii="Calibri" w:eastAsia="Calibri" w:hAnsi="Calibri" w:cs="Times New Roman"/>
              <w:b/>
              <w:bCs/>
              <w:sz w:val="12"/>
              <w:szCs w:val="12"/>
              <w:rtl/>
              <w:lang w:val="en-US"/>
            </w:rPr>
            <w:t>المملكة المغربية</w:t>
          </w:r>
        </w:p>
        <w:p w:rsidR="00AF3FEE" w:rsidRPr="00FA631C" w:rsidRDefault="00AF3FEE" w:rsidP="00FA631C">
          <w:pPr>
            <w:tabs>
              <w:tab w:val="center" w:pos="4320"/>
            </w:tabs>
            <w:spacing w:after="0" w:line="240" w:lineRule="auto"/>
            <w:jc w:val="center"/>
            <w:rPr>
              <w:rFonts w:ascii="Calibri" w:eastAsia="Calibri" w:hAnsi="Calibri" w:cs="Times New Roman"/>
              <w:b/>
              <w:bCs/>
              <w:sz w:val="12"/>
              <w:szCs w:val="14"/>
            </w:rPr>
          </w:pPr>
          <w:r w:rsidRPr="00FA631C">
            <w:rPr>
              <w:rFonts w:ascii="Calibri" w:eastAsia="Calibri" w:hAnsi="Calibri" w:cs="Times New Roman"/>
              <w:b/>
              <w:bCs/>
              <w:sz w:val="12"/>
              <w:szCs w:val="14"/>
            </w:rPr>
            <w:t>Royaume du Maroc</w:t>
          </w:r>
        </w:p>
        <w:p w:rsidR="00AF3FEE" w:rsidRPr="00FA631C" w:rsidRDefault="00AF3FEE" w:rsidP="00FA631C">
          <w:pPr>
            <w:spacing w:after="0" w:line="240" w:lineRule="auto"/>
            <w:jc w:val="center"/>
            <w:rPr>
              <w:rFonts w:ascii="Calibri" w:eastAsia="Calibri" w:hAnsi="Calibri" w:cs="Times New Roman"/>
              <w:b/>
              <w:bCs/>
              <w:sz w:val="18"/>
              <w:szCs w:val="18"/>
            </w:rPr>
          </w:pPr>
          <w:r w:rsidRPr="00FA631C">
            <w:rPr>
              <w:rFonts w:ascii="Calibri" w:eastAsia="Calibri" w:hAnsi="Calibri" w:cs="Arial"/>
              <w:noProof/>
              <w:lang w:eastAsia="fr-FR"/>
            </w:rPr>
            <w:drawing>
              <wp:anchor distT="0" distB="0" distL="114300" distR="114300" simplePos="0" relativeHeight="251660288" behindDoc="0" locked="0" layoutInCell="1" allowOverlap="1">
                <wp:simplePos x="0" y="0"/>
                <wp:positionH relativeFrom="column">
                  <wp:posOffset>492760</wp:posOffset>
                </wp:positionH>
                <wp:positionV relativeFrom="paragraph">
                  <wp:posOffset>111760</wp:posOffset>
                </wp:positionV>
                <wp:extent cx="504825" cy="476250"/>
                <wp:effectExtent l="0" t="0" r="9525" b="0"/>
                <wp:wrapSquare wrapText="right"/>
                <wp:docPr id="2" name="Picture 3" descr="Description: Description: Description: Laur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Laurier.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476250"/>
                        </a:xfrm>
                        <a:prstGeom prst="rect">
                          <a:avLst/>
                        </a:prstGeom>
                        <a:noFill/>
                      </pic:spPr>
                    </pic:pic>
                  </a:graphicData>
                </a:graphic>
              </wp:anchor>
            </w:drawing>
          </w:r>
        </w:p>
        <w:p w:rsidR="00AF3FEE" w:rsidRPr="00FA631C" w:rsidRDefault="00AF3FEE" w:rsidP="00FA631C">
          <w:pPr>
            <w:spacing w:after="0" w:line="240" w:lineRule="auto"/>
            <w:jc w:val="center"/>
            <w:rPr>
              <w:rFonts w:ascii="Calibri" w:eastAsia="Calibri" w:hAnsi="Calibri" w:cs="Times New Roman"/>
              <w:b/>
              <w:bCs/>
              <w:sz w:val="18"/>
              <w:szCs w:val="18"/>
            </w:rPr>
          </w:pPr>
        </w:p>
        <w:p w:rsidR="00AF3FEE" w:rsidRPr="00FA631C" w:rsidRDefault="00AF3FEE" w:rsidP="00FA631C">
          <w:pPr>
            <w:spacing w:after="0" w:line="240" w:lineRule="auto"/>
            <w:jc w:val="center"/>
            <w:rPr>
              <w:rFonts w:ascii="Calibri" w:eastAsia="Calibri" w:hAnsi="Calibri" w:cs="Times New Roman"/>
              <w:b/>
              <w:bCs/>
              <w:sz w:val="18"/>
              <w:szCs w:val="18"/>
            </w:rPr>
          </w:pPr>
        </w:p>
        <w:p w:rsidR="00AF3FEE" w:rsidRPr="00FA631C" w:rsidRDefault="00AF3FEE" w:rsidP="00FA631C">
          <w:pPr>
            <w:spacing w:after="0" w:line="240" w:lineRule="auto"/>
            <w:jc w:val="center"/>
            <w:rPr>
              <w:rFonts w:ascii="Calibri" w:eastAsia="Calibri" w:hAnsi="Calibri" w:cs="Times New Roman"/>
              <w:b/>
              <w:bCs/>
              <w:sz w:val="18"/>
              <w:szCs w:val="18"/>
            </w:rPr>
          </w:pPr>
        </w:p>
        <w:p w:rsidR="00AF3FEE" w:rsidRPr="00FA631C" w:rsidRDefault="00AF3FEE" w:rsidP="00FA631C">
          <w:pPr>
            <w:spacing w:after="0" w:line="240" w:lineRule="auto"/>
            <w:jc w:val="center"/>
            <w:rPr>
              <w:rFonts w:ascii="Calibri" w:eastAsia="Calibri" w:hAnsi="Calibri" w:cs="Times New Roman"/>
              <w:b/>
              <w:bCs/>
              <w:sz w:val="18"/>
              <w:szCs w:val="18"/>
            </w:rPr>
          </w:pPr>
        </w:p>
        <w:p w:rsidR="00AF3FEE" w:rsidRPr="00FA631C" w:rsidRDefault="00AF3FEE" w:rsidP="00FA631C">
          <w:pPr>
            <w:spacing w:after="0" w:line="240" w:lineRule="auto"/>
            <w:jc w:val="center"/>
            <w:rPr>
              <w:rFonts w:ascii="Calibri" w:eastAsia="Calibri" w:hAnsi="Calibri" w:cs="Times New Roman"/>
              <w:sz w:val="12"/>
              <w:szCs w:val="12"/>
            </w:rPr>
          </w:pPr>
          <w:r w:rsidRPr="00FA631C">
            <w:rPr>
              <w:rFonts w:ascii="Calibri" w:eastAsia="Calibri" w:hAnsi="Calibri" w:cs="Times New Roman"/>
              <w:sz w:val="12"/>
              <w:szCs w:val="12"/>
            </w:rPr>
            <w:t>Ministère de L’Intérieur</w:t>
          </w:r>
        </w:p>
        <w:p w:rsidR="00AF3FEE" w:rsidRPr="00FA631C" w:rsidRDefault="00AF3FEE" w:rsidP="00FA631C">
          <w:pPr>
            <w:spacing w:after="0" w:line="240" w:lineRule="auto"/>
            <w:jc w:val="center"/>
            <w:rPr>
              <w:rFonts w:ascii="Calibri" w:eastAsia="Calibri" w:hAnsi="Calibri" w:cs="Times New Roman"/>
              <w:sz w:val="10"/>
              <w:szCs w:val="10"/>
            </w:rPr>
          </w:pPr>
        </w:p>
        <w:p w:rsidR="00AF3FEE" w:rsidRPr="00FA631C" w:rsidRDefault="00AF3FEE" w:rsidP="00FA631C">
          <w:pPr>
            <w:spacing w:after="0" w:line="240" w:lineRule="auto"/>
            <w:ind w:left="-142"/>
            <w:jc w:val="center"/>
            <w:rPr>
              <w:rFonts w:ascii="Calibri" w:eastAsia="Calibri" w:hAnsi="Calibri" w:cs="Times New Roman"/>
              <w:b/>
              <w:u w:val="single"/>
            </w:rPr>
          </w:pPr>
        </w:p>
      </w:tc>
      <w:tc>
        <w:tcPr>
          <w:tcW w:w="2982" w:type="dxa"/>
        </w:tcPr>
        <w:p w:rsidR="00AF3FEE" w:rsidRPr="00FA631C" w:rsidRDefault="00AF3FEE" w:rsidP="00FA631C">
          <w:pPr>
            <w:spacing w:after="0" w:line="240" w:lineRule="auto"/>
            <w:jc w:val="center"/>
            <w:rPr>
              <w:rFonts w:ascii="Wingdings-Regular" w:eastAsia="Times New Roman" w:hAnsi="Wingdings-Regular" w:cs="Wingdings-Regular"/>
              <w:sz w:val="20"/>
              <w:szCs w:val="20"/>
            </w:rPr>
          </w:pPr>
          <w:r w:rsidRPr="00FA631C">
            <w:rPr>
              <w:rFonts w:ascii="Calibri" w:eastAsia="Calibri" w:hAnsi="Calibri" w:cs="Arial"/>
              <w:noProof/>
              <w:lang w:eastAsia="fr-FR"/>
            </w:rPr>
            <w:drawing>
              <wp:anchor distT="0" distB="0" distL="114300" distR="114300" simplePos="0" relativeHeight="251661312" behindDoc="1" locked="0" layoutInCell="1" allowOverlap="1">
                <wp:simplePos x="0" y="0"/>
                <wp:positionH relativeFrom="column">
                  <wp:posOffset>375920</wp:posOffset>
                </wp:positionH>
                <wp:positionV relativeFrom="paragraph">
                  <wp:posOffset>95250</wp:posOffset>
                </wp:positionV>
                <wp:extent cx="809625" cy="800100"/>
                <wp:effectExtent l="0" t="0" r="9525" b="0"/>
                <wp:wrapTight wrapText="bothSides">
                  <wp:wrapPolygon edited="0">
                    <wp:start x="0" y="0"/>
                    <wp:lineTo x="0" y="21086"/>
                    <wp:lineTo x="21346" y="21086"/>
                    <wp:lineTo x="21346" y="0"/>
                    <wp:lineTo x="0" y="0"/>
                  </wp:wrapPolygon>
                </wp:wrapTight>
                <wp:docPr id="17" name="Picture 2" descr="Description: Description: Description: https://www.thegef.org/gef/sites/thegef.org/files/Images/FEM-notag-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https://www.thegef.org/gef/sites/thegef.org/files/Images/FEM-notag-lowres.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800100"/>
                        </a:xfrm>
                        <a:prstGeom prst="rect">
                          <a:avLst/>
                        </a:prstGeom>
                        <a:noFill/>
                      </pic:spPr>
                    </pic:pic>
                  </a:graphicData>
                </a:graphic>
              </wp:anchor>
            </w:drawing>
          </w:r>
        </w:p>
        <w:p w:rsidR="00AF3FEE" w:rsidRPr="00FA631C" w:rsidRDefault="00AF3FEE" w:rsidP="00FA631C">
          <w:pPr>
            <w:spacing w:after="0" w:line="240" w:lineRule="auto"/>
            <w:jc w:val="center"/>
            <w:rPr>
              <w:rFonts w:ascii="Wingdings-Regular" w:eastAsia="Times New Roman" w:hAnsi="Wingdings-Regular" w:cs="Wingdings-Regular"/>
              <w:sz w:val="20"/>
              <w:szCs w:val="20"/>
            </w:rPr>
          </w:pPr>
        </w:p>
        <w:p w:rsidR="00AF3FEE" w:rsidRPr="00FA631C" w:rsidRDefault="00AF3FEE" w:rsidP="00FA631C">
          <w:pPr>
            <w:spacing w:after="0" w:line="240" w:lineRule="auto"/>
            <w:jc w:val="center"/>
            <w:rPr>
              <w:rFonts w:ascii="Wingdings-Regular" w:eastAsia="Times New Roman" w:hAnsi="Wingdings-Regular" w:cs="Wingdings-Regular"/>
              <w:sz w:val="20"/>
              <w:szCs w:val="20"/>
            </w:rPr>
          </w:pPr>
        </w:p>
      </w:tc>
      <w:tc>
        <w:tcPr>
          <w:tcW w:w="1956" w:type="dxa"/>
        </w:tcPr>
        <w:p w:rsidR="00AF3FEE" w:rsidRPr="00FA631C" w:rsidRDefault="00AF3FEE" w:rsidP="00FA631C">
          <w:pPr>
            <w:spacing w:after="0" w:line="240" w:lineRule="auto"/>
            <w:rPr>
              <w:rFonts w:ascii="Wingdings-Regular" w:eastAsia="Times New Roman" w:hAnsi="Wingdings-Regular" w:cs="Wingdings-Regular"/>
              <w:sz w:val="20"/>
              <w:szCs w:val="20"/>
            </w:rPr>
          </w:pPr>
        </w:p>
        <w:p w:rsidR="00AF3FEE" w:rsidRPr="00FA631C" w:rsidRDefault="00AF3FEE" w:rsidP="00FA631C">
          <w:pPr>
            <w:spacing w:after="0" w:line="240" w:lineRule="auto"/>
            <w:rPr>
              <w:rFonts w:ascii="Wingdings-Regular" w:eastAsia="Times New Roman" w:hAnsi="Wingdings-Regular" w:cs="Wingdings-Regular"/>
              <w:sz w:val="20"/>
              <w:szCs w:val="20"/>
              <w:lang w:val="en-US"/>
            </w:rPr>
          </w:pPr>
          <w:r w:rsidRPr="00FA631C">
            <w:rPr>
              <w:rFonts w:ascii="Calibri" w:eastAsia="Times New Roman" w:hAnsi="Calibri" w:cs="Times New Roman"/>
              <w:noProof/>
              <w:lang w:eastAsia="fr-FR"/>
            </w:rPr>
            <w:drawing>
              <wp:inline distT="0" distB="0" distL="0" distR="0">
                <wp:extent cx="390525" cy="847725"/>
                <wp:effectExtent l="0" t="0" r="9525" b="9525"/>
                <wp:docPr id="19" name="Picture 1" descr="Description: Description: Description: C:\Users\h.zarrouk\AppData\Local\Microsoft\Windows\Temporary Internet Files\Low\Content.IE5\0O6P8ZU0\PNUD_Logo-Bleu-Tagline_Noi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Users\h.zarrouk\AppData\Local\Microsoft\Windows\Temporary Internet Files\Low\Content.IE5\0O6P8ZU0\PNUD_Logo-Bleu-Tagline_Noir[1].jp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847725"/>
                        </a:xfrm>
                        <a:prstGeom prst="rect">
                          <a:avLst/>
                        </a:prstGeom>
                        <a:noFill/>
                        <a:ln>
                          <a:noFill/>
                        </a:ln>
                      </pic:spPr>
                    </pic:pic>
                  </a:graphicData>
                </a:graphic>
              </wp:inline>
            </w:drawing>
          </w:r>
        </w:p>
      </w:tc>
    </w:tr>
  </w:tbl>
  <w:p w:rsidR="00AF3FEE" w:rsidRPr="00FA631C" w:rsidRDefault="00AF3FEE" w:rsidP="00FA631C">
    <w:pPr>
      <w:tabs>
        <w:tab w:val="left" w:pos="5205"/>
      </w:tabs>
      <w:spacing w:after="0" w:line="240" w:lineRule="auto"/>
      <w:rPr>
        <w:rFonts w:ascii="Calibri" w:eastAsia="Calibri" w:hAnsi="Calibri" w:cs="Times New Roman"/>
      </w:rPr>
    </w:pPr>
    <w:r w:rsidRPr="00FA631C">
      <w:rPr>
        <w:rFonts w:ascii="Calibri" w:eastAsia="Calibri" w:hAnsi="Calibri" w:cs="Times New Roman"/>
      </w:rPr>
      <w:tab/>
    </w:r>
  </w:p>
  <w:p w:rsidR="00AF3FEE" w:rsidRDefault="00AF3FE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FEE" w:rsidRPr="00FA631C" w:rsidRDefault="00AF3FEE" w:rsidP="00FA631C">
    <w:pPr>
      <w:tabs>
        <w:tab w:val="left" w:pos="5205"/>
      </w:tabs>
      <w:spacing w:after="0" w:line="240" w:lineRule="auto"/>
      <w:rPr>
        <w:rFonts w:ascii="Calibri" w:eastAsia="Calibri" w:hAnsi="Calibri" w:cs="Times New Roman"/>
      </w:rPr>
    </w:pPr>
    <w:r w:rsidRPr="00FA631C">
      <w:rPr>
        <w:rFonts w:ascii="Calibri" w:eastAsia="Calibri" w:hAnsi="Calibri" w:cs="Times New Roman"/>
      </w:rPr>
      <w:tab/>
    </w:r>
  </w:p>
  <w:p w:rsidR="00AF3FEE" w:rsidRDefault="00AF3FE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9D7"/>
    <w:multiLevelType w:val="hybridMultilevel"/>
    <w:tmpl w:val="76A2ACA0"/>
    <w:lvl w:ilvl="0" w:tplc="755E2BAA">
      <w:start w:val="1"/>
      <w:numFmt w:val="decimal"/>
      <w:lvlText w:val="%1."/>
      <w:lvlJc w:val="left"/>
      <w:pPr>
        <w:ind w:left="708" w:hanging="708"/>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28A28B5"/>
    <w:multiLevelType w:val="hybridMultilevel"/>
    <w:tmpl w:val="BD2236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D43DA1"/>
    <w:multiLevelType w:val="hybridMultilevel"/>
    <w:tmpl w:val="FD36A1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1D604F"/>
    <w:multiLevelType w:val="hybridMultilevel"/>
    <w:tmpl w:val="3610719C"/>
    <w:lvl w:ilvl="0" w:tplc="2F787C9E">
      <w:start w:val="460"/>
      <w:numFmt w:val="bullet"/>
      <w:lvlText w:val="-"/>
      <w:lvlJc w:val="left"/>
      <w:pPr>
        <w:ind w:left="720" w:hanging="360"/>
      </w:pPr>
      <w:rPr>
        <w:rFonts w:ascii="Calibri" w:eastAsiaTheme="minorHAnsi" w:hAnsi="Calibri" w:cs="ACaslonPro-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A53710"/>
    <w:multiLevelType w:val="hybridMultilevel"/>
    <w:tmpl w:val="1FCC4C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3F72FF5"/>
    <w:multiLevelType w:val="hybridMultilevel"/>
    <w:tmpl w:val="76A2ACA0"/>
    <w:lvl w:ilvl="0" w:tplc="755E2BAA">
      <w:start w:val="1"/>
      <w:numFmt w:val="decimal"/>
      <w:lvlText w:val="%1."/>
      <w:lvlJc w:val="left"/>
      <w:pPr>
        <w:ind w:left="708" w:hanging="708"/>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1C411BAD"/>
    <w:multiLevelType w:val="hybridMultilevel"/>
    <w:tmpl w:val="975626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1B6754A"/>
    <w:multiLevelType w:val="hybridMultilevel"/>
    <w:tmpl w:val="A80C5B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29C73E7"/>
    <w:multiLevelType w:val="hybridMultilevel"/>
    <w:tmpl w:val="A6A47BCC"/>
    <w:lvl w:ilvl="0" w:tplc="2F787C9E">
      <w:start w:val="460"/>
      <w:numFmt w:val="bullet"/>
      <w:lvlText w:val="-"/>
      <w:lvlJc w:val="left"/>
      <w:pPr>
        <w:ind w:left="720" w:hanging="360"/>
      </w:pPr>
      <w:rPr>
        <w:rFonts w:ascii="Calibri" w:eastAsiaTheme="minorHAnsi" w:hAnsi="Calibri" w:cs="ACaslonPro-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7C45669"/>
    <w:multiLevelType w:val="hybridMultilevel"/>
    <w:tmpl w:val="15CC915A"/>
    <w:lvl w:ilvl="0" w:tplc="7204882A">
      <w:start w:val="1"/>
      <w:numFmt w:val="upperRoman"/>
      <w:lvlText w:val="%1."/>
      <w:lvlJc w:val="left"/>
      <w:pPr>
        <w:ind w:left="229" w:hanging="720"/>
      </w:pPr>
      <w:rPr>
        <w:rFonts w:hint="default"/>
      </w:rPr>
    </w:lvl>
    <w:lvl w:ilvl="1" w:tplc="040C0019" w:tentative="1">
      <w:start w:val="1"/>
      <w:numFmt w:val="lowerLetter"/>
      <w:lvlText w:val="%2."/>
      <w:lvlJc w:val="left"/>
      <w:pPr>
        <w:ind w:left="589" w:hanging="360"/>
      </w:pPr>
    </w:lvl>
    <w:lvl w:ilvl="2" w:tplc="040C001B" w:tentative="1">
      <w:start w:val="1"/>
      <w:numFmt w:val="lowerRoman"/>
      <w:lvlText w:val="%3."/>
      <w:lvlJc w:val="right"/>
      <w:pPr>
        <w:ind w:left="1309" w:hanging="180"/>
      </w:pPr>
    </w:lvl>
    <w:lvl w:ilvl="3" w:tplc="040C000F" w:tentative="1">
      <w:start w:val="1"/>
      <w:numFmt w:val="decimal"/>
      <w:lvlText w:val="%4."/>
      <w:lvlJc w:val="left"/>
      <w:pPr>
        <w:ind w:left="2029" w:hanging="360"/>
      </w:pPr>
    </w:lvl>
    <w:lvl w:ilvl="4" w:tplc="040C0019" w:tentative="1">
      <w:start w:val="1"/>
      <w:numFmt w:val="lowerLetter"/>
      <w:lvlText w:val="%5."/>
      <w:lvlJc w:val="left"/>
      <w:pPr>
        <w:ind w:left="2749" w:hanging="360"/>
      </w:pPr>
    </w:lvl>
    <w:lvl w:ilvl="5" w:tplc="040C001B" w:tentative="1">
      <w:start w:val="1"/>
      <w:numFmt w:val="lowerRoman"/>
      <w:lvlText w:val="%6."/>
      <w:lvlJc w:val="right"/>
      <w:pPr>
        <w:ind w:left="3469" w:hanging="180"/>
      </w:pPr>
    </w:lvl>
    <w:lvl w:ilvl="6" w:tplc="040C000F" w:tentative="1">
      <w:start w:val="1"/>
      <w:numFmt w:val="decimal"/>
      <w:lvlText w:val="%7."/>
      <w:lvlJc w:val="left"/>
      <w:pPr>
        <w:ind w:left="4189" w:hanging="360"/>
      </w:pPr>
    </w:lvl>
    <w:lvl w:ilvl="7" w:tplc="040C0019" w:tentative="1">
      <w:start w:val="1"/>
      <w:numFmt w:val="lowerLetter"/>
      <w:lvlText w:val="%8."/>
      <w:lvlJc w:val="left"/>
      <w:pPr>
        <w:ind w:left="4909" w:hanging="360"/>
      </w:pPr>
    </w:lvl>
    <w:lvl w:ilvl="8" w:tplc="040C001B" w:tentative="1">
      <w:start w:val="1"/>
      <w:numFmt w:val="lowerRoman"/>
      <w:lvlText w:val="%9."/>
      <w:lvlJc w:val="right"/>
      <w:pPr>
        <w:ind w:left="5629" w:hanging="180"/>
      </w:pPr>
    </w:lvl>
  </w:abstractNum>
  <w:abstractNum w:abstractNumId="10">
    <w:nsid w:val="2E344CB3"/>
    <w:multiLevelType w:val="hybridMultilevel"/>
    <w:tmpl w:val="796E0D90"/>
    <w:lvl w:ilvl="0" w:tplc="DC7C2C34">
      <w:numFmt w:val="bullet"/>
      <w:lvlText w:val="-"/>
      <w:lvlJc w:val="left"/>
      <w:pPr>
        <w:ind w:left="844" w:hanging="360"/>
      </w:pPr>
      <w:rPr>
        <w:rFonts w:ascii="Times New Roman" w:eastAsia="Times New Roman" w:hAnsi="Times New Roman" w:cs="Times New Roman" w:hint="default"/>
      </w:rPr>
    </w:lvl>
    <w:lvl w:ilvl="1" w:tplc="040C0003" w:tentative="1">
      <w:start w:val="1"/>
      <w:numFmt w:val="bullet"/>
      <w:lvlText w:val="o"/>
      <w:lvlJc w:val="left"/>
      <w:pPr>
        <w:ind w:left="1564" w:hanging="360"/>
      </w:pPr>
      <w:rPr>
        <w:rFonts w:ascii="Courier New" w:hAnsi="Courier New" w:cs="Courier New" w:hint="default"/>
      </w:rPr>
    </w:lvl>
    <w:lvl w:ilvl="2" w:tplc="040C0005" w:tentative="1">
      <w:start w:val="1"/>
      <w:numFmt w:val="bullet"/>
      <w:lvlText w:val=""/>
      <w:lvlJc w:val="left"/>
      <w:pPr>
        <w:ind w:left="2284" w:hanging="360"/>
      </w:pPr>
      <w:rPr>
        <w:rFonts w:ascii="Wingdings" w:hAnsi="Wingdings" w:hint="default"/>
      </w:rPr>
    </w:lvl>
    <w:lvl w:ilvl="3" w:tplc="040C0001" w:tentative="1">
      <w:start w:val="1"/>
      <w:numFmt w:val="bullet"/>
      <w:lvlText w:val=""/>
      <w:lvlJc w:val="left"/>
      <w:pPr>
        <w:ind w:left="3004" w:hanging="360"/>
      </w:pPr>
      <w:rPr>
        <w:rFonts w:ascii="Symbol" w:hAnsi="Symbol" w:hint="default"/>
      </w:rPr>
    </w:lvl>
    <w:lvl w:ilvl="4" w:tplc="040C0003" w:tentative="1">
      <w:start w:val="1"/>
      <w:numFmt w:val="bullet"/>
      <w:lvlText w:val="o"/>
      <w:lvlJc w:val="left"/>
      <w:pPr>
        <w:ind w:left="3724" w:hanging="360"/>
      </w:pPr>
      <w:rPr>
        <w:rFonts w:ascii="Courier New" w:hAnsi="Courier New" w:cs="Courier New" w:hint="default"/>
      </w:rPr>
    </w:lvl>
    <w:lvl w:ilvl="5" w:tplc="040C0005" w:tentative="1">
      <w:start w:val="1"/>
      <w:numFmt w:val="bullet"/>
      <w:lvlText w:val=""/>
      <w:lvlJc w:val="left"/>
      <w:pPr>
        <w:ind w:left="4444" w:hanging="360"/>
      </w:pPr>
      <w:rPr>
        <w:rFonts w:ascii="Wingdings" w:hAnsi="Wingdings" w:hint="default"/>
      </w:rPr>
    </w:lvl>
    <w:lvl w:ilvl="6" w:tplc="040C0001" w:tentative="1">
      <w:start w:val="1"/>
      <w:numFmt w:val="bullet"/>
      <w:lvlText w:val=""/>
      <w:lvlJc w:val="left"/>
      <w:pPr>
        <w:ind w:left="5164" w:hanging="360"/>
      </w:pPr>
      <w:rPr>
        <w:rFonts w:ascii="Symbol" w:hAnsi="Symbol" w:hint="default"/>
      </w:rPr>
    </w:lvl>
    <w:lvl w:ilvl="7" w:tplc="040C0003" w:tentative="1">
      <w:start w:val="1"/>
      <w:numFmt w:val="bullet"/>
      <w:lvlText w:val="o"/>
      <w:lvlJc w:val="left"/>
      <w:pPr>
        <w:ind w:left="5884" w:hanging="360"/>
      </w:pPr>
      <w:rPr>
        <w:rFonts w:ascii="Courier New" w:hAnsi="Courier New" w:cs="Courier New" w:hint="default"/>
      </w:rPr>
    </w:lvl>
    <w:lvl w:ilvl="8" w:tplc="040C0005" w:tentative="1">
      <w:start w:val="1"/>
      <w:numFmt w:val="bullet"/>
      <w:lvlText w:val=""/>
      <w:lvlJc w:val="left"/>
      <w:pPr>
        <w:ind w:left="6604" w:hanging="360"/>
      </w:pPr>
      <w:rPr>
        <w:rFonts w:ascii="Wingdings" w:hAnsi="Wingdings" w:hint="default"/>
      </w:rPr>
    </w:lvl>
  </w:abstractNum>
  <w:abstractNum w:abstractNumId="11">
    <w:nsid w:val="432472D1"/>
    <w:multiLevelType w:val="hybridMultilevel"/>
    <w:tmpl w:val="F2F89894"/>
    <w:lvl w:ilvl="0" w:tplc="6DDE4EC2">
      <w:numFmt w:val="bullet"/>
      <w:lvlText w:val="−"/>
      <w:lvlJc w:val="left"/>
      <w:pPr>
        <w:ind w:left="720" w:hanging="360"/>
      </w:pPr>
      <w:rPr>
        <w:rFonts w:ascii="Calibri" w:eastAsiaTheme="minorHAnsi" w:hAnsi="Calibri" w:cs="MyriadPro-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43D2730"/>
    <w:multiLevelType w:val="hybridMultilevel"/>
    <w:tmpl w:val="35AC98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7A015BA"/>
    <w:multiLevelType w:val="hybridMultilevel"/>
    <w:tmpl w:val="2788F6BE"/>
    <w:lvl w:ilvl="0" w:tplc="A356A92A">
      <w:start w:val="4"/>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DC965FA"/>
    <w:multiLevelType w:val="hybridMultilevel"/>
    <w:tmpl w:val="C624CBC6"/>
    <w:lvl w:ilvl="0" w:tplc="040C000F">
      <w:start w:val="1"/>
      <w:numFmt w:val="decimal"/>
      <w:lvlText w:val="%1."/>
      <w:lvlJc w:val="left"/>
      <w:pPr>
        <w:ind w:left="644"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75D4FD3"/>
    <w:multiLevelType w:val="hybridMultilevel"/>
    <w:tmpl w:val="0C92A2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79F4896"/>
    <w:multiLevelType w:val="hybridMultilevel"/>
    <w:tmpl w:val="71E873DA"/>
    <w:lvl w:ilvl="0" w:tplc="F2B0024C">
      <w:start w:val="4"/>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A0666C3"/>
    <w:multiLevelType w:val="hybridMultilevel"/>
    <w:tmpl w:val="42BEF9CA"/>
    <w:lvl w:ilvl="0" w:tplc="2F787C9E">
      <w:start w:val="460"/>
      <w:numFmt w:val="bullet"/>
      <w:lvlText w:val="-"/>
      <w:lvlJc w:val="left"/>
      <w:pPr>
        <w:ind w:left="720" w:hanging="360"/>
      </w:pPr>
      <w:rPr>
        <w:rFonts w:ascii="Calibri" w:eastAsiaTheme="minorHAnsi" w:hAnsi="Calibri" w:cs="ACaslonPro-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2D600E4"/>
    <w:multiLevelType w:val="hybridMultilevel"/>
    <w:tmpl w:val="8F5080A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7137099A"/>
    <w:multiLevelType w:val="hybridMultilevel"/>
    <w:tmpl w:val="22BA9D4C"/>
    <w:lvl w:ilvl="0" w:tplc="FE384ABA">
      <w:start w:val="4"/>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7"/>
  </w:num>
  <w:num w:numId="4">
    <w:abstractNumId w:val="8"/>
  </w:num>
  <w:num w:numId="5">
    <w:abstractNumId w:val="7"/>
  </w:num>
  <w:num w:numId="6">
    <w:abstractNumId w:val="18"/>
  </w:num>
  <w:num w:numId="7">
    <w:abstractNumId w:val="2"/>
  </w:num>
  <w:num w:numId="8">
    <w:abstractNumId w:val="15"/>
  </w:num>
  <w:num w:numId="9">
    <w:abstractNumId w:val="16"/>
  </w:num>
  <w:num w:numId="10">
    <w:abstractNumId w:val="13"/>
  </w:num>
  <w:num w:numId="11">
    <w:abstractNumId w:val="19"/>
  </w:num>
  <w:num w:numId="12">
    <w:abstractNumId w:val="6"/>
  </w:num>
  <w:num w:numId="13">
    <w:abstractNumId w:val="12"/>
  </w:num>
  <w:num w:numId="14">
    <w:abstractNumId w:val="11"/>
  </w:num>
  <w:num w:numId="15">
    <w:abstractNumId w:val="4"/>
  </w:num>
  <w:num w:numId="16">
    <w:abstractNumId w:val="14"/>
  </w:num>
  <w:num w:numId="17">
    <w:abstractNumId w:val="5"/>
  </w:num>
  <w:num w:numId="18">
    <w:abstractNumId w:val="1"/>
  </w:num>
  <w:num w:numId="19">
    <w:abstractNumId w:val="10"/>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characterSpacingControl w:val="doNotCompress"/>
  <w:footnotePr>
    <w:footnote w:id="0"/>
    <w:footnote w:id="1"/>
  </w:footnotePr>
  <w:endnotePr>
    <w:endnote w:id="0"/>
    <w:endnote w:id="1"/>
  </w:endnotePr>
  <w:compat/>
  <w:rsids>
    <w:rsidRoot w:val="00AD1A5C"/>
    <w:rsid w:val="0000030D"/>
    <w:rsid w:val="00012A81"/>
    <w:rsid w:val="000140DD"/>
    <w:rsid w:val="00020D28"/>
    <w:rsid w:val="00023C76"/>
    <w:rsid w:val="00035F0B"/>
    <w:rsid w:val="00046C5C"/>
    <w:rsid w:val="00047F39"/>
    <w:rsid w:val="00054F26"/>
    <w:rsid w:val="000560B8"/>
    <w:rsid w:val="00062BC9"/>
    <w:rsid w:val="000761A3"/>
    <w:rsid w:val="00082537"/>
    <w:rsid w:val="0008352F"/>
    <w:rsid w:val="00084149"/>
    <w:rsid w:val="00086D5C"/>
    <w:rsid w:val="00091FF1"/>
    <w:rsid w:val="000A356E"/>
    <w:rsid w:val="000A455E"/>
    <w:rsid w:val="000B3122"/>
    <w:rsid w:val="000C3214"/>
    <w:rsid w:val="000D0898"/>
    <w:rsid w:val="000D56EB"/>
    <w:rsid w:val="000D6878"/>
    <w:rsid w:val="000D7BB5"/>
    <w:rsid w:val="000E0FDE"/>
    <w:rsid w:val="000E3245"/>
    <w:rsid w:val="000F3205"/>
    <w:rsid w:val="000F571E"/>
    <w:rsid w:val="00114DDF"/>
    <w:rsid w:val="00130292"/>
    <w:rsid w:val="00132E91"/>
    <w:rsid w:val="00137810"/>
    <w:rsid w:val="00137B60"/>
    <w:rsid w:val="00143124"/>
    <w:rsid w:val="001479D5"/>
    <w:rsid w:val="001544AA"/>
    <w:rsid w:val="001678FA"/>
    <w:rsid w:val="0019053E"/>
    <w:rsid w:val="00191209"/>
    <w:rsid w:val="001966B3"/>
    <w:rsid w:val="001979AD"/>
    <w:rsid w:val="001A311A"/>
    <w:rsid w:val="001A508C"/>
    <w:rsid w:val="001A644C"/>
    <w:rsid w:val="001C7FB0"/>
    <w:rsid w:val="001D7D73"/>
    <w:rsid w:val="001E299B"/>
    <w:rsid w:val="001E7FBC"/>
    <w:rsid w:val="001F3919"/>
    <w:rsid w:val="001F7052"/>
    <w:rsid w:val="002250FF"/>
    <w:rsid w:val="0023276F"/>
    <w:rsid w:val="00242E89"/>
    <w:rsid w:val="0025360A"/>
    <w:rsid w:val="002546B1"/>
    <w:rsid w:val="0026128D"/>
    <w:rsid w:val="002625CF"/>
    <w:rsid w:val="00272351"/>
    <w:rsid w:val="0027728B"/>
    <w:rsid w:val="002807AD"/>
    <w:rsid w:val="002847EB"/>
    <w:rsid w:val="002A46DB"/>
    <w:rsid w:val="002A59C0"/>
    <w:rsid w:val="002A72AB"/>
    <w:rsid w:val="002A76AE"/>
    <w:rsid w:val="002B6261"/>
    <w:rsid w:val="002C28D7"/>
    <w:rsid w:val="002C33BB"/>
    <w:rsid w:val="002C6CA1"/>
    <w:rsid w:val="002D24AB"/>
    <w:rsid w:val="002D5125"/>
    <w:rsid w:val="002D5FC7"/>
    <w:rsid w:val="002E1EB8"/>
    <w:rsid w:val="00306F3F"/>
    <w:rsid w:val="0031515B"/>
    <w:rsid w:val="00315D01"/>
    <w:rsid w:val="00317641"/>
    <w:rsid w:val="00326258"/>
    <w:rsid w:val="003301DB"/>
    <w:rsid w:val="00332C2A"/>
    <w:rsid w:val="003409A1"/>
    <w:rsid w:val="0034651E"/>
    <w:rsid w:val="00351B98"/>
    <w:rsid w:val="00352753"/>
    <w:rsid w:val="00356742"/>
    <w:rsid w:val="00365823"/>
    <w:rsid w:val="0037276E"/>
    <w:rsid w:val="00374977"/>
    <w:rsid w:val="00375BA9"/>
    <w:rsid w:val="00380102"/>
    <w:rsid w:val="003A01CC"/>
    <w:rsid w:val="003A1301"/>
    <w:rsid w:val="003A4A23"/>
    <w:rsid w:val="003B6ADB"/>
    <w:rsid w:val="003C1411"/>
    <w:rsid w:val="003C21C1"/>
    <w:rsid w:val="003C6F63"/>
    <w:rsid w:val="003D0733"/>
    <w:rsid w:val="003E22C7"/>
    <w:rsid w:val="003F177B"/>
    <w:rsid w:val="003F2DF3"/>
    <w:rsid w:val="003F4C22"/>
    <w:rsid w:val="00400487"/>
    <w:rsid w:val="00407288"/>
    <w:rsid w:val="00407724"/>
    <w:rsid w:val="00410836"/>
    <w:rsid w:val="00413E22"/>
    <w:rsid w:val="004210F9"/>
    <w:rsid w:val="004228BF"/>
    <w:rsid w:val="00422F33"/>
    <w:rsid w:val="0043549A"/>
    <w:rsid w:val="00440BC4"/>
    <w:rsid w:val="00442C7E"/>
    <w:rsid w:val="00446497"/>
    <w:rsid w:val="00452958"/>
    <w:rsid w:val="0046036F"/>
    <w:rsid w:val="00461FF2"/>
    <w:rsid w:val="004769D7"/>
    <w:rsid w:val="00486F5D"/>
    <w:rsid w:val="0049321F"/>
    <w:rsid w:val="0049576B"/>
    <w:rsid w:val="004972B4"/>
    <w:rsid w:val="004B167C"/>
    <w:rsid w:val="004B4398"/>
    <w:rsid w:val="004B544F"/>
    <w:rsid w:val="004D0044"/>
    <w:rsid w:val="004E4457"/>
    <w:rsid w:val="004F27EA"/>
    <w:rsid w:val="004F35D3"/>
    <w:rsid w:val="004F7935"/>
    <w:rsid w:val="00511B40"/>
    <w:rsid w:val="00511D1F"/>
    <w:rsid w:val="0052104D"/>
    <w:rsid w:val="00525ACF"/>
    <w:rsid w:val="00527B3B"/>
    <w:rsid w:val="0053766D"/>
    <w:rsid w:val="005430C3"/>
    <w:rsid w:val="00563214"/>
    <w:rsid w:val="00570717"/>
    <w:rsid w:val="00577B89"/>
    <w:rsid w:val="005A0790"/>
    <w:rsid w:val="005A1EF8"/>
    <w:rsid w:val="005B4E43"/>
    <w:rsid w:val="005B5A9A"/>
    <w:rsid w:val="005D12CC"/>
    <w:rsid w:val="005D4497"/>
    <w:rsid w:val="005D77B3"/>
    <w:rsid w:val="005E04CA"/>
    <w:rsid w:val="005E7017"/>
    <w:rsid w:val="005F081F"/>
    <w:rsid w:val="005F317A"/>
    <w:rsid w:val="005F6E81"/>
    <w:rsid w:val="00604D3A"/>
    <w:rsid w:val="00604F5D"/>
    <w:rsid w:val="00616992"/>
    <w:rsid w:val="00637D5E"/>
    <w:rsid w:val="00643391"/>
    <w:rsid w:val="00644781"/>
    <w:rsid w:val="00676861"/>
    <w:rsid w:val="00682963"/>
    <w:rsid w:val="006836BF"/>
    <w:rsid w:val="00687ED2"/>
    <w:rsid w:val="00697504"/>
    <w:rsid w:val="006B0345"/>
    <w:rsid w:val="006B3FD0"/>
    <w:rsid w:val="006B6530"/>
    <w:rsid w:val="006C1A5B"/>
    <w:rsid w:val="006C26C8"/>
    <w:rsid w:val="006C4989"/>
    <w:rsid w:val="006C559D"/>
    <w:rsid w:val="006D3E91"/>
    <w:rsid w:val="006D55EB"/>
    <w:rsid w:val="006F68D0"/>
    <w:rsid w:val="007013EA"/>
    <w:rsid w:val="00703FAD"/>
    <w:rsid w:val="007243FA"/>
    <w:rsid w:val="00731F88"/>
    <w:rsid w:val="00733558"/>
    <w:rsid w:val="00733C02"/>
    <w:rsid w:val="00737591"/>
    <w:rsid w:val="00737A8E"/>
    <w:rsid w:val="00755753"/>
    <w:rsid w:val="007604CD"/>
    <w:rsid w:val="00760D50"/>
    <w:rsid w:val="007625D5"/>
    <w:rsid w:val="00767861"/>
    <w:rsid w:val="00772764"/>
    <w:rsid w:val="00773F39"/>
    <w:rsid w:val="00785C2D"/>
    <w:rsid w:val="00794F86"/>
    <w:rsid w:val="007A24DB"/>
    <w:rsid w:val="007B3FC1"/>
    <w:rsid w:val="007C172B"/>
    <w:rsid w:val="007C4E7D"/>
    <w:rsid w:val="007D330A"/>
    <w:rsid w:val="007D4B86"/>
    <w:rsid w:val="007D5EFC"/>
    <w:rsid w:val="007E044B"/>
    <w:rsid w:val="007E1533"/>
    <w:rsid w:val="007E16F5"/>
    <w:rsid w:val="007E220F"/>
    <w:rsid w:val="007E6F26"/>
    <w:rsid w:val="007E7CFE"/>
    <w:rsid w:val="007F25CD"/>
    <w:rsid w:val="008055AF"/>
    <w:rsid w:val="008118DB"/>
    <w:rsid w:val="00823195"/>
    <w:rsid w:val="00824C57"/>
    <w:rsid w:val="0084351E"/>
    <w:rsid w:val="00845F98"/>
    <w:rsid w:val="00846BE8"/>
    <w:rsid w:val="00850870"/>
    <w:rsid w:val="00854769"/>
    <w:rsid w:val="00854799"/>
    <w:rsid w:val="00857395"/>
    <w:rsid w:val="00861745"/>
    <w:rsid w:val="00865064"/>
    <w:rsid w:val="00890A1B"/>
    <w:rsid w:val="008926F2"/>
    <w:rsid w:val="008B1BE6"/>
    <w:rsid w:val="008B20F9"/>
    <w:rsid w:val="008B5CAA"/>
    <w:rsid w:val="008C011D"/>
    <w:rsid w:val="008C7CD5"/>
    <w:rsid w:val="008D034E"/>
    <w:rsid w:val="008D3C45"/>
    <w:rsid w:val="008D5C87"/>
    <w:rsid w:val="008F6041"/>
    <w:rsid w:val="0090074D"/>
    <w:rsid w:val="00900A58"/>
    <w:rsid w:val="00901898"/>
    <w:rsid w:val="0090512C"/>
    <w:rsid w:val="00910BAC"/>
    <w:rsid w:val="00913FEC"/>
    <w:rsid w:val="0091698D"/>
    <w:rsid w:val="00917FD1"/>
    <w:rsid w:val="00923EA9"/>
    <w:rsid w:val="00926E51"/>
    <w:rsid w:val="00934BE4"/>
    <w:rsid w:val="009411EE"/>
    <w:rsid w:val="00943FCD"/>
    <w:rsid w:val="009463D2"/>
    <w:rsid w:val="009514B9"/>
    <w:rsid w:val="00982C27"/>
    <w:rsid w:val="009A1B2E"/>
    <w:rsid w:val="009A6AD0"/>
    <w:rsid w:val="009D1BBF"/>
    <w:rsid w:val="009D5314"/>
    <w:rsid w:val="009D56E5"/>
    <w:rsid w:val="009D5711"/>
    <w:rsid w:val="009E0B71"/>
    <w:rsid w:val="009E1AE5"/>
    <w:rsid w:val="009E32CF"/>
    <w:rsid w:val="00A04575"/>
    <w:rsid w:val="00A14456"/>
    <w:rsid w:val="00A35512"/>
    <w:rsid w:val="00A43A7C"/>
    <w:rsid w:val="00A55B1D"/>
    <w:rsid w:val="00A72E41"/>
    <w:rsid w:val="00A72FB8"/>
    <w:rsid w:val="00A9081C"/>
    <w:rsid w:val="00AA1F17"/>
    <w:rsid w:val="00AB4545"/>
    <w:rsid w:val="00AB5423"/>
    <w:rsid w:val="00AC18EE"/>
    <w:rsid w:val="00AD1A5C"/>
    <w:rsid w:val="00AD6955"/>
    <w:rsid w:val="00AD77C4"/>
    <w:rsid w:val="00AE54CD"/>
    <w:rsid w:val="00AF303D"/>
    <w:rsid w:val="00AF3FEE"/>
    <w:rsid w:val="00AF628F"/>
    <w:rsid w:val="00B02CD9"/>
    <w:rsid w:val="00B03B68"/>
    <w:rsid w:val="00B0461A"/>
    <w:rsid w:val="00B04D2C"/>
    <w:rsid w:val="00B07E13"/>
    <w:rsid w:val="00B21579"/>
    <w:rsid w:val="00B2301E"/>
    <w:rsid w:val="00B23BF7"/>
    <w:rsid w:val="00B25AC5"/>
    <w:rsid w:val="00B32450"/>
    <w:rsid w:val="00B32E35"/>
    <w:rsid w:val="00B400DD"/>
    <w:rsid w:val="00B4512F"/>
    <w:rsid w:val="00B553CD"/>
    <w:rsid w:val="00B60036"/>
    <w:rsid w:val="00B623A5"/>
    <w:rsid w:val="00B6658A"/>
    <w:rsid w:val="00B6749A"/>
    <w:rsid w:val="00B70757"/>
    <w:rsid w:val="00B70859"/>
    <w:rsid w:val="00B748E8"/>
    <w:rsid w:val="00B75908"/>
    <w:rsid w:val="00B75CED"/>
    <w:rsid w:val="00B77242"/>
    <w:rsid w:val="00B9031A"/>
    <w:rsid w:val="00B93891"/>
    <w:rsid w:val="00BA15C4"/>
    <w:rsid w:val="00BA43BD"/>
    <w:rsid w:val="00BA520F"/>
    <w:rsid w:val="00BC0FDC"/>
    <w:rsid w:val="00BC2AF2"/>
    <w:rsid w:val="00BD7AD4"/>
    <w:rsid w:val="00BE3F55"/>
    <w:rsid w:val="00BF4F3C"/>
    <w:rsid w:val="00BF7745"/>
    <w:rsid w:val="00C041B6"/>
    <w:rsid w:val="00C047CC"/>
    <w:rsid w:val="00C04CDC"/>
    <w:rsid w:val="00C1440C"/>
    <w:rsid w:val="00C17C97"/>
    <w:rsid w:val="00C351EC"/>
    <w:rsid w:val="00C42E79"/>
    <w:rsid w:val="00C60238"/>
    <w:rsid w:val="00C6569E"/>
    <w:rsid w:val="00C71073"/>
    <w:rsid w:val="00C810C0"/>
    <w:rsid w:val="00C84500"/>
    <w:rsid w:val="00CB2C41"/>
    <w:rsid w:val="00CB3515"/>
    <w:rsid w:val="00CC4778"/>
    <w:rsid w:val="00CD3056"/>
    <w:rsid w:val="00CD3FE4"/>
    <w:rsid w:val="00CD6C71"/>
    <w:rsid w:val="00CE4C6D"/>
    <w:rsid w:val="00CE5EC8"/>
    <w:rsid w:val="00CF114F"/>
    <w:rsid w:val="00CF3140"/>
    <w:rsid w:val="00D00266"/>
    <w:rsid w:val="00D004C1"/>
    <w:rsid w:val="00D141F9"/>
    <w:rsid w:val="00D151D4"/>
    <w:rsid w:val="00D17773"/>
    <w:rsid w:val="00D22B1A"/>
    <w:rsid w:val="00D33CD8"/>
    <w:rsid w:val="00D36B8E"/>
    <w:rsid w:val="00D43324"/>
    <w:rsid w:val="00D5250F"/>
    <w:rsid w:val="00D5582B"/>
    <w:rsid w:val="00D57016"/>
    <w:rsid w:val="00D62259"/>
    <w:rsid w:val="00D626CA"/>
    <w:rsid w:val="00D64166"/>
    <w:rsid w:val="00DA66AA"/>
    <w:rsid w:val="00DB739F"/>
    <w:rsid w:val="00DC423E"/>
    <w:rsid w:val="00DD2CE6"/>
    <w:rsid w:val="00DD38EE"/>
    <w:rsid w:val="00DD5704"/>
    <w:rsid w:val="00DD6330"/>
    <w:rsid w:val="00DE1A54"/>
    <w:rsid w:val="00DE6479"/>
    <w:rsid w:val="00DE6C57"/>
    <w:rsid w:val="00E06632"/>
    <w:rsid w:val="00E13E4E"/>
    <w:rsid w:val="00E257F4"/>
    <w:rsid w:val="00E25ED6"/>
    <w:rsid w:val="00E435D2"/>
    <w:rsid w:val="00E53D9E"/>
    <w:rsid w:val="00E5492A"/>
    <w:rsid w:val="00E57AA8"/>
    <w:rsid w:val="00E7487F"/>
    <w:rsid w:val="00E804AC"/>
    <w:rsid w:val="00E8103F"/>
    <w:rsid w:val="00E842EB"/>
    <w:rsid w:val="00E915BA"/>
    <w:rsid w:val="00E951CD"/>
    <w:rsid w:val="00EA4248"/>
    <w:rsid w:val="00EB58B1"/>
    <w:rsid w:val="00EB63FD"/>
    <w:rsid w:val="00EC27A7"/>
    <w:rsid w:val="00ED492C"/>
    <w:rsid w:val="00ED64A4"/>
    <w:rsid w:val="00EE536C"/>
    <w:rsid w:val="00EF2F9D"/>
    <w:rsid w:val="00EF3613"/>
    <w:rsid w:val="00EF6B95"/>
    <w:rsid w:val="00F03329"/>
    <w:rsid w:val="00F0705F"/>
    <w:rsid w:val="00F12CC8"/>
    <w:rsid w:val="00F14F31"/>
    <w:rsid w:val="00F23312"/>
    <w:rsid w:val="00F260FC"/>
    <w:rsid w:val="00F277C8"/>
    <w:rsid w:val="00F36AC6"/>
    <w:rsid w:val="00F47CB9"/>
    <w:rsid w:val="00F5135C"/>
    <w:rsid w:val="00F52F03"/>
    <w:rsid w:val="00F579E5"/>
    <w:rsid w:val="00F607AA"/>
    <w:rsid w:val="00F63F00"/>
    <w:rsid w:val="00F944BC"/>
    <w:rsid w:val="00F95DB7"/>
    <w:rsid w:val="00FA546C"/>
    <w:rsid w:val="00FA631C"/>
    <w:rsid w:val="00FA73F6"/>
    <w:rsid w:val="00FA7A7E"/>
    <w:rsid w:val="00FB2148"/>
    <w:rsid w:val="00FB23E0"/>
    <w:rsid w:val="00FB78FE"/>
    <w:rsid w:val="00FC1ADB"/>
    <w:rsid w:val="00FC41D7"/>
    <w:rsid w:val="00FC5D61"/>
    <w:rsid w:val="00FD01E1"/>
    <w:rsid w:val="00FD5ED6"/>
    <w:rsid w:val="00FE22D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BA9"/>
  </w:style>
  <w:style w:type="paragraph" w:styleId="Titre1">
    <w:name w:val="heading 1"/>
    <w:basedOn w:val="Normal"/>
    <w:next w:val="Normal"/>
    <w:link w:val="Titre1Car"/>
    <w:uiPriority w:val="9"/>
    <w:qFormat/>
    <w:rsid w:val="00D641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75C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B75C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D1A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D1A5C"/>
    <w:pPr>
      <w:autoSpaceDE w:val="0"/>
      <w:autoSpaceDN w:val="0"/>
      <w:adjustRightInd w:val="0"/>
      <w:spacing w:after="0" w:line="240" w:lineRule="auto"/>
    </w:pPr>
    <w:rPr>
      <w:rFonts w:ascii="Garamond" w:hAnsi="Garamond" w:cs="Garamond"/>
      <w:color w:val="000000"/>
      <w:sz w:val="24"/>
      <w:szCs w:val="24"/>
    </w:rPr>
  </w:style>
  <w:style w:type="paragraph" w:styleId="Paragraphedeliste">
    <w:name w:val="List Paragraph"/>
    <w:basedOn w:val="Normal"/>
    <w:uiPriority w:val="34"/>
    <w:qFormat/>
    <w:rsid w:val="007B3FC1"/>
    <w:pPr>
      <w:ind w:left="720"/>
      <w:contextualSpacing/>
    </w:pPr>
  </w:style>
  <w:style w:type="paragraph" w:styleId="Textedebulles">
    <w:name w:val="Balloon Text"/>
    <w:basedOn w:val="Normal"/>
    <w:link w:val="TextedebullesCar"/>
    <w:uiPriority w:val="99"/>
    <w:semiHidden/>
    <w:unhideWhenUsed/>
    <w:rsid w:val="00917F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7FD1"/>
    <w:rPr>
      <w:rFonts w:ascii="Tahoma" w:hAnsi="Tahoma" w:cs="Tahoma"/>
      <w:sz w:val="16"/>
      <w:szCs w:val="16"/>
    </w:rPr>
  </w:style>
  <w:style w:type="character" w:customStyle="1" w:styleId="Titre2Car">
    <w:name w:val="Titre 2 Car"/>
    <w:basedOn w:val="Policepardfaut"/>
    <w:link w:val="Titre2"/>
    <w:uiPriority w:val="9"/>
    <w:rsid w:val="00B75CE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B75CED"/>
    <w:rPr>
      <w:rFonts w:asciiTheme="majorHAnsi" w:eastAsiaTheme="majorEastAsia" w:hAnsiTheme="majorHAnsi" w:cstheme="majorBidi"/>
      <w:b/>
      <w:bCs/>
      <w:color w:val="4F81BD" w:themeColor="accent1"/>
    </w:rPr>
  </w:style>
  <w:style w:type="paragraph" w:styleId="Notedebasdepage">
    <w:name w:val="footnote text"/>
    <w:basedOn w:val="Normal"/>
    <w:link w:val="NotedebasdepageCar"/>
    <w:uiPriority w:val="99"/>
    <w:semiHidden/>
    <w:unhideWhenUsed/>
    <w:rsid w:val="002D24A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D24AB"/>
    <w:rPr>
      <w:sz w:val="20"/>
      <w:szCs w:val="20"/>
    </w:rPr>
  </w:style>
  <w:style w:type="character" w:styleId="Appelnotedebasdep">
    <w:name w:val="footnote reference"/>
    <w:aliases w:val="16 Point,Superscript 6 Point"/>
    <w:basedOn w:val="Policepardfaut"/>
    <w:semiHidden/>
    <w:unhideWhenUsed/>
    <w:rsid w:val="002D24AB"/>
    <w:rPr>
      <w:vertAlign w:val="superscript"/>
    </w:rPr>
  </w:style>
  <w:style w:type="character" w:customStyle="1" w:styleId="Titre1Car">
    <w:name w:val="Titre 1 Car"/>
    <w:basedOn w:val="Policepardfaut"/>
    <w:link w:val="Titre1"/>
    <w:uiPriority w:val="9"/>
    <w:rsid w:val="00D64166"/>
    <w:rPr>
      <w:rFonts w:asciiTheme="majorHAnsi" w:eastAsiaTheme="majorEastAsia" w:hAnsiTheme="majorHAnsi" w:cstheme="majorBidi"/>
      <w:b/>
      <w:bCs/>
      <w:color w:val="365F91" w:themeColor="accent1" w:themeShade="BF"/>
      <w:sz w:val="28"/>
      <w:szCs w:val="28"/>
    </w:rPr>
  </w:style>
  <w:style w:type="paragraph" w:styleId="Sous-titre">
    <w:name w:val="Subtitle"/>
    <w:basedOn w:val="Normal"/>
    <w:next w:val="Normal"/>
    <w:link w:val="Sous-titreCar"/>
    <w:uiPriority w:val="11"/>
    <w:qFormat/>
    <w:rsid w:val="00A55B1D"/>
    <w:pPr>
      <w:numPr>
        <w:ilvl w:val="1"/>
      </w:numPr>
      <w:spacing w:after="80"/>
    </w:pPr>
    <w:rPr>
      <w:rFonts w:eastAsiaTheme="majorEastAsia" w:cstheme="majorBidi"/>
      <w:b/>
      <w:iCs/>
      <w:spacing w:val="15"/>
      <w:szCs w:val="24"/>
    </w:rPr>
  </w:style>
  <w:style w:type="character" w:customStyle="1" w:styleId="Sous-titreCar">
    <w:name w:val="Sous-titre Car"/>
    <w:basedOn w:val="Policepardfaut"/>
    <w:link w:val="Sous-titre"/>
    <w:uiPriority w:val="11"/>
    <w:rsid w:val="00A55B1D"/>
    <w:rPr>
      <w:rFonts w:eastAsiaTheme="majorEastAsia" w:cstheme="majorBidi"/>
      <w:b/>
      <w:iCs/>
      <w:spacing w:val="15"/>
      <w:szCs w:val="24"/>
    </w:rPr>
  </w:style>
  <w:style w:type="paragraph" w:styleId="TM1">
    <w:name w:val="toc 1"/>
    <w:basedOn w:val="Normal"/>
    <w:next w:val="Normal"/>
    <w:autoRedefine/>
    <w:uiPriority w:val="39"/>
    <w:unhideWhenUsed/>
    <w:rsid w:val="00A43A7C"/>
    <w:pPr>
      <w:tabs>
        <w:tab w:val="right" w:leader="dot" w:pos="9062"/>
      </w:tabs>
      <w:spacing w:after="100"/>
    </w:pPr>
    <w:rPr>
      <w:rFonts w:cs="MyriadPro-Bold"/>
      <w:b/>
      <w:noProof/>
    </w:rPr>
  </w:style>
  <w:style w:type="paragraph" w:styleId="TM2">
    <w:name w:val="toc 2"/>
    <w:basedOn w:val="Normal"/>
    <w:next w:val="Normal"/>
    <w:autoRedefine/>
    <w:uiPriority w:val="39"/>
    <w:unhideWhenUsed/>
    <w:rsid w:val="00F5135C"/>
    <w:pPr>
      <w:spacing w:after="100"/>
      <w:ind w:left="220"/>
    </w:pPr>
  </w:style>
  <w:style w:type="paragraph" w:styleId="TM3">
    <w:name w:val="toc 3"/>
    <w:basedOn w:val="Normal"/>
    <w:next w:val="Normal"/>
    <w:autoRedefine/>
    <w:uiPriority w:val="39"/>
    <w:unhideWhenUsed/>
    <w:rsid w:val="00F5135C"/>
    <w:pPr>
      <w:spacing w:after="100"/>
      <w:ind w:left="440"/>
    </w:pPr>
  </w:style>
  <w:style w:type="character" w:styleId="Lienhypertexte">
    <w:name w:val="Hyperlink"/>
    <w:basedOn w:val="Policepardfaut"/>
    <w:uiPriority w:val="99"/>
    <w:unhideWhenUsed/>
    <w:rsid w:val="00F5135C"/>
    <w:rPr>
      <w:color w:val="0000FF" w:themeColor="hyperlink"/>
      <w:u w:val="single"/>
    </w:rPr>
  </w:style>
  <w:style w:type="paragraph" w:styleId="Pieddepage">
    <w:name w:val="footer"/>
    <w:basedOn w:val="Normal"/>
    <w:link w:val="PieddepageCar"/>
    <w:uiPriority w:val="99"/>
    <w:unhideWhenUsed/>
    <w:rsid w:val="00FA631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631C"/>
  </w:style>
  <w:style w:type="paragraph" w:styleId="En-tte">
    <w:name w:val="header"/>
    <w:basedOn w:val="Normal"/>
    <w:link w:val="En-tteCar"/>
    <w:uiPriority w:val="99"/>
    <w:unhideWhenUsed/>
    <w:rsid w:val="00FA631C"/>
    <w:pPr>
      <w:tabs>
        <w:tab w:val="center" w:pos="4536"/>
        <w:tab w:val="right" w:pos="9072"/>
      </w:tabs>
      <w:spacing w:after="0" w:line="240" w:lineRule="auto"/>
    </w:pPr>
  </w:style>
  <w:style w:type="character" w:customStyle="1" w:styleId="En-tteCar">
    <w:name w:val="En-tête Car"/>
    <w:basedOn w:val="Policepardfaut"/>
    <w:link w:val="En-tte"/>
    <w:uiPriority w:val="99"/>
    <w:rsid w:val="00FA631C"/>
  </w:style>
  <w:style w:type="paragraph" w:styleId="Notedefin">
    <w:name w:val="endnote text"/>
    <w:basedOn w:val="Normal"/>
    <w:link w:val="NotedefinCar"/>
    <w:uiPriority w:val="99"/>
    <w:semiHidden/>
    <w:unhideWhenUsed/>
    <w:rsid w:val="00D43324"/>
    <w:pPr>
      <w:spacing w:after="0" w:line="240" w:lineRule="auto"/>
    </w:pPr>
    <w:rPr>
      <w:sz w:val="20"/>
      <w:szCs w:val="20"/>
    </w:rPr>
  </w:style>
  <w:style w:type="character" w:customStyle="1" w:styleId="NotedefinCar">
    <w:name w:val="Note de fin Car"/>
    <w:basedOn w:val="Policepardfaut"/>
    <w:link w:val="Notedefin"/>
    <w:uiPriority w:val="99"/>
    <w:semiHidden/>
    <w:rsid w:val="00D43324"/>
    <w:rPr>
      <w:sz w:val="20"/>
      <w:szCs w:val="20"/>
    </w:rPr>
  </w:style>
  <w:style w:type="character" w:styleId="Appeldenotedefin">
    <w:name w:val="endnote reference"/>
    <w:basedOn w:val="Policepardfaut"/>
    <w:uiPriority w:val="99"/>
    <w:semiHidden/>
    <w:unhideWhenUsed/>
    <w:rsid w:val="00D43324"/>
    <w:rPr>
      <w:vertAlign w:val="superscript"/>
    </w:rPr>
  </w:style>
</w:styles>
</file>

<file path=word/webSettings.xml><?xml version="1.0" encoding="utf-8"?>
<w:webSettings xmlns:r="http://schemas.openxmlformats.org/officeDocument/2006/relationships" xmlns:w="http://schemas.openxmlformats.org/wordprocessingml/2006/main">
  <w:divs>
    <w:div w:id="173425106">
      <w:bodyDiv w:val="1"/>
      <w:marLeft w:val="0"/>
      <w:marRight w:val="0"/>
      <w:marTop w:val="0"/>
      <w:marBottom w:val="0"/>
      <w:divBdr>
        <w:top w:val="none" w:sz="0" w:space="0" w:color="auto"/>
        <w:left w:val="none" w:sz="0" w:space="0" w:color="auto"/>
        <w:bottom w:val="none" w:sz="0" w:space="0" w:color="auto"/>
        <w:right w:val="none" w:sz="0" w:space="0" w:color="auto"/>
      </w:divBdr>
    </w:div>
    <w:div w:id="647126677">
      <w:bodyDiv w:val="1"/>
      <w:marLeft w:val="0"/>
      <w:marRight w:val="0"/>
      <w:marTop w:val="0"/>
      <w:marBottom w:val="0"/>
      <w:divBdr>
        <w:top w:val="none" w:sz="0" w:space="0" w:color="auto"/>
        <w:left w:val="none" w:sz="0" w:space="0" w:color="auto"/>
        <w:bottom w:val="none" w:sz="0" w:space="0" w:color="auto"/>
        <w:right w:val="none" w:sz="0" w:space="0" w:color="auto"/>
      </w:divBdr>
    </w:div>
    <w:div w:id="104163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5C429-1AAD-4C4A-95A1-3AD80EE36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54</Pages>
  <Words>22381</Words>
  <Characters>123100</Characters>
  <Application>Microsoft Office Word</Application>
  <DocSecurity>0</DocSecurity>
  <Lines>1025</Lines>
  <Paragraphs>290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145191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SOPHIE-2</dc:creator>
  <cp:lastModifiedBy>hp</cp:lastModifiedBy>
  <cp:revision>2</cp:revision>
  <dcterms:created xsi:type="dcterms:W3CDTF">2019-10-24T09:22:00Z</dcterms:created>
  <dcterms:modified xsi:type="dcterms:W3CDTF">2019-10-24T09:22:00Z</dcterms:modified>
</cp:coreProperties>
</file>